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六盘水市信用评级报告(区域部分)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六盘水作为贵州省下辖地级市，经济总量列贵州省第五位，人均GDP约5.86万元、人均经济实力居全省中游，经济增速由3.60%回升至5.20%、动能边际改善；固定资产投资连续负增长（最新3.30%），经济运行总体平稳。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六盘水市2023、2024、2025年地区生产总值分别为1,622.53亿元、1,703.70亿元、1,777.75亿元，同比增长3.60%、5.20%、5.20%。截至2025年末，全市常住人口303.47万人，人均GDP约5.86万元。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产业结构方面，2025年六盘水市三次产业结构为10.8:41.3:47.9，第三产业占主导、服务业是经济主体。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2023、2024、2025年固定资产投资增速分别为-14.80%、-5.90%、3.30%，进出口总额2.42亿美元。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六盘水市2025年GDP总量1,777.75亿元、列全省第五位，一般公共预算收入117.43亿元、列全省第五位。整体来看，六盘水市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六盘水市财政体量在贵州省处于中游，税收占比54.01%、税收占比处于一般水平，但政府性基金收入较2023年累计增长86%；2025年末宽口径债务率597.21%、处于偏高水平，已显著高于公认的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六盘水市一般公共预算收入分别为110.33亿元、117.32亿元、117.43亿元，其中税收收入70.30亿元、65.43亿元、63.42亿元，税收占比维持在63.72%、55.77%、54.01%；一般公共预算支出341.09亿元、351.51亿元、363.11亿元，财政自给率32.35%、33.38%、32.34%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政府性基金收入方面，2023、2024、2025年分别为123.99亿元、201.83亿元、230.70亿元，政府性基金收入较2023年累计增长86%，反映地方综合财力对房地产周期的敞口。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图表：2023-2025年六盘水市财政收入情况(单位:亿元、%)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341.09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351.51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资料来源:六盘水市财政决算、企业预警通,风控信评部整理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土地市场方面，【待补充:六盘水市土地出让与房地产销售数据（土地市场数据库未覆盖该市）】。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六盘水市地方政府债务余额分别为935.26亿元、1,132.00亿元、1,267.35亿元，2025年末债务限额1,277.73亿元，债务余额控制在限额以内；城投有息债务2025年末估算余额818.88亿元。债务率指标看，2025年末政府债务率362.79%、城投债务率234.41%、宽口径债务率597.21%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六盘水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