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安顺市信用评级报告(区域部分)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顺作为贵州省下辖地级市，经济总量列贵州省第九位，人均GDP约4.99万元、人均经济实力在省内相对靠后，经济增速由3.50%回升至4.90%、动能边际改善；固定资产投资最新增速转负（-19.80%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安顺市2023、2024、2025年地区生产总值分别为1,140.82亿元、1,185.36亿元、1,232.35亿元，同比增长3.50%、4.00%、4.90%。截至2025年末，全市常住人口247.53万人，人均GDP约4.99万元。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产业结构方面，2025年安顺市三次产业结构为17.1:27.2:55.7，第三产业占主导、服务业是经济主体，农业基础较好。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2023、2024、2025年固定资产投资增速分别为1.80%、6.50%、-19.80%，进出口总额1.99亿美元。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安顺市2025年GDP总量1,232.35亿元、列全省第九位，一般公共预算收入68.31亿元、列全省第九位。整体来看，安顺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安顺市财政体量在贵州省处于中游，税收占比46.95%、税收占比处于一般水平，但政府性基金收入总体平稳；2025年末宽口径债务率744.56%、处于偏高水平，已显著高于公认的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安顺市一般公共预算收入分别为69.25亿元、65.34亿元、68.31亿元，其中税收收入32.02亿元、27.29亿元、32.07亿元，税收占比维持在46.24%、41.77%、46.95%；一般公共预算支出299.52亿元、296.92亿元、302.86亿元，财政自给率23.12%、22.01%、22.55%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政府性基金收入方面，2023、2024、2025年分别为98.43亿元、103.00亿元、104.88亿元，政府性基金收入总体平稳，反映地方综合财力对房地产周期的敞口。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图表：2023-2025年安顺市财政收入情况(单位:亿元、%)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302.86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资料来源:安顺市财政决算、企业预警通,风控信评部整理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土地市场方面，【待补充:安顺市土地出让与房地产销售数据（土地市场数据库未覆盖该市）】。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安顺市地方政府债务余额分别为726.59亿元、842.00亿元、844.80亿元，2025年末债务限额851.38亿元，债务余额控制在限额以内；城投有息债务2025年末估算余额445.34亿元。债务率指标看，2025年末政府债务率487.55%、城投债务率257.01%、宽口径债务率744.56%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安顺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