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毕节市信用评级报告(区域部分)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毕节作为贵州省下辖地级市，经济总量列贵州省第三位，人均GDP约3.84万元、人均经济实力在省内相对靠后，经济增速维持在4.90%左右、总体平稳；固定资产投资最新增速6.40%，经济运行总体平稳。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毕节市2023、2024、2025年地区生产总值分别为2,362.72亿元、2,451.72亿元、2,541.14亿元，同比增长4.91%、4.30%、4.90%。截至2025年末，全市常住人口660.83万人，人均GDP约3.84万元。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产业结构方面，2025年毕节市三次产业结构为22.6:25.8:51.5，第三产业占主导、服务业是经济主体，农业基础较好。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2023、2024、2025年固定资产投资增速分别为12.60%、12.30%、6.40%，进出口总额1.43亿美元。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图表：2025年贵州省各地级市主要经济指标对比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贵阳市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6,038.15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3.6:29.5:66.8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490.76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666.89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遵义市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5,206.12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11.1:39.4:49.5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358.00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646.69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毕节市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2,541.14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22.6:25.8:51.5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140.04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660.83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黔南布依族苗族自治州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2,008.49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15.4:29.6:55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133.29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348.97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六盘水市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1,777.75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10.8:41.3:47.9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117.43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303.47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铜仁市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1,722.66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20.5:23.3:56.2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黔西南布依族苗族自治州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1,535.28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19:27.3:53.7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97.22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黔东南苗族侗族自治州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1,500.24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19.3:21.6:59.1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83.67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372.12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安顺市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1,232.35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17.1:27.2:55.7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68.31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247.53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毕节市2025年GDP总量2,541.14亿元、列全省第三位，一般公共预算收入140.04亿元、列全省第三位。整体来看，毕节市经济基本面在贵州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毕节市财政体量在贵州省位居前列，税收占比61.16%、税收质量较好，但政府性基金收入较2023年累计增长12%；2025年末宽口径债务率719.71%、处于偏高水平，已显著高于公认的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毕节市一般公共预算收入分别为129.64亿元、134.45亿元、140.04亿元，其中税收收入79.22亿元、84.02亿元、85.65亿元，税收占比维持在61.11%、62.49%、61.16%；一般公共预算支出708.36亿元、754.24亿元、754.37亿元，财政自给率18.30%、17.83%、18.56%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政府性基金收入方面，2023、2024、2025年分别为158.47亿元、152.59亿元、177.28亿元，政府性基金收入较2023年累计增长12%，反映地方综合财力对房地产周期的敞口。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图表：2023-2025年毕节市财政收入情况(单位:亿元、%)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129.64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134.45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140.04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84.02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1.94%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61.11%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62.49%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61.16%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708.36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754.24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754.37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0.02%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17.83%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18.56%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158.47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152.59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-3.71%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177.28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16.18%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资料来源:毕节市财政决算、企业预警通,风控信评部整理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土地市场方面，【待补充:毕节市土地出让与房地产销售数据（土地市场数据库未覆盖该市）】。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毕节市地方政府债务余额分别为1,378.00亿元、1,603.40亿元、1,784.17亿元，2025年末债务限额1,803.22亿元，债务余额控制在限额以内；城投有息债务2025年末估算余额525.54亿元。债务率指标看，2025年末政府债务率555.95%、城投债务率163.76%、宽口径债务率719.71%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毕节市财政基本盘较为扎实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