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贵阳市信用评级报告(区域部分)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贵阳作为贵州省省会，经济总量在贵州省稳居第一，人均GDP约9.10万元、人均经济实力居全省前列，经济增速由5.96%回落至5.10%、有所放缓；固定资产投资连续负增长（最新-1.90%），经济动能仍有待修复。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贵阳市2023、2024、2025年地区生产总值分别为5,427.75亿元、5,778.24亿元、6,038.15亿元，同比增长5.96%、6.00%、5.10%。截至2025年末，全市常住人口666.89万人，人均GDP约9.10万元。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产业结构方面，2025年贵阳市三次产业结构为3.6:29.5:66.8，以大数据、装备制造、特色食品和磷化工为支柱，“中国数谷”，数据中心产业集聚。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2023、2024、2025年固定资产投资增速分别为-10.30%、3.60%、-1.90%，2025年社会消费品零售总额2,576.34亿元，进出口总额92.64亿美元。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图表：2025年贵州省各地级市主要经济指标对比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6,038.15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3.6:29.5:66.8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666.89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遵义市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5,206.12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11.1:39.4:49.5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646.69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毕节市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2,541.14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22.6:25.8:51.5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660.83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黔南布依族苗族自治州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15.4:29.6:55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133.29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348.97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六盘水市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1,777.75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10.8:41.3:47.9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117.43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303.47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1,722.66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20.5:23.3:56.2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黔西南布依族苗族自治州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1,535.28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19:27.3:53.7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黔东南苗族侗族自治州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1,500.24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19.3:21.6:59.1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372.12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安顺市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1,232.35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17.1:27.2:55.7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247.53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贵阳市2025年GDP总量6,038.15亿元、列全省第一位，一般公共预算收入490.76亿元、列全省第一位。整体来看，贵阳市经济基本面在贵州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贵阳市财政体量在贵州省稳居第一，税收占比63.98%、税收质量较好，但政府性基金收入较2023年累计增长26%；2025年末宽口径债务率607.89%、处于偏高水平，已显著高于公认的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贵阳市一般公共预算收入分别为446.20亿元、472.05亿元、490.76亿元，其中税收收入302.02亿元、311.58亿元、314.00亿元，税收占比维持在67.69%、66.01%、63.98%；一般公共预算支出778.79亿元、805.72亿元、814.63亿元，财政自给率57.29%、58.59%、60.24%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政府性基金收入方面，2023、2024、2025年分别为640.94亿元、704.69亿元、809.02亿元，政府性基金收入较2023年累计增长26%，反映地方综合财力对房地产周期的敞口。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图表：2023-2025年贵阳市财政收入情况(单位:亿元、%)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446.20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472.05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302.02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311.58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314.00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67.69%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778.79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805.72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814.63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1.11%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640.94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704.69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809.02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14.81%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资料来源:贵阳市财政决算、企业预警通,风控信评部整理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土地市场方面，【待补充:贵阳市土地出让与房地产销售数据（土地市场数据库未覆盖该市）】。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贵阳市地方政府债务余额分别为3,435.82亿元、3,769.00亿元、4,329.89亿元，2025年末债务限额4,373.17亿元，债务余额控制在限额以内；城投有息债务2025年末估算余额3,618.01亿元。债务率指标看，2025年末政府债务率331.17%、城投债务率276.72%、宽口径债务率607.89%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贵阳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