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遵义市信用评级报告(区域部分)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遵义作为贵州省下辖地级市，经济总量列贵州省第二位，人均GDP约8.03万元、人均经济实力居全省前列，经济增速由6.75%回落至4.30%、有所放缓；固定资产投资连续负增长（最新-8.70%），经济动能仍有待修复。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遵义市2023、2024、2025年地区生产总值分别为4,762.73亿元、5,027.61亿元、5,206.12亿元，同比增长6.75%、5.70%、4.30%。截至2025年末，全市常住人口646.69万人，人均GDP约8.03万元。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产业结构方面，2025年遵义市三次产业结构为11.1:39.4:49.5，第三产业占主导、服务业是经济主体。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2023、2024、2025年固定资产投资增速分别为-12.50%、-2.90%、-8.70%，2025年社会消费品零售总额1,765.84亿元，进出口总额8.17亿美元。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遵义市2025年GDP总量5,206.12亿元、列全省第二位，一般公共预算收入358.00亿元、列全省第二位。整体来看，遵义市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遵义市财政体量在贵州省位居前列，税收占比70.81%、税收质量较好，但政府性基金收入总体平稳；2025年末宽口径债务率649.59%、处于偏高水平，已显著高于公认的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遵义市一般公共预算收入分别为326.37亿元、347.76亿元、358.00亿元，其中税收收入255.88亿元、260.82亿元、253.51亿元，税收占比维持在78.40%、75.00%、70.81%；一般公共预算支出825.05亿元、862.37亿元、870.41亿元，财政自给率39.56%、40.33%、41.13%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政府性基金收入方面，2023、2024、2025年分别为369.37亿元、368.79亿元、350.65亿元，政府性基金收入总体平稳，反映地方综合财力对房地产周期的敞口。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图表：2023-2025年遵义市财政收入情况(单位:亿元、%)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825.05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862.37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资料来源:遵义市财政决算、企业预警通,风控信评部整理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土地市场方面，【待补充:遵义市土地出让与房地产销售数据（土地市场数据库未覆盖该市）】。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遵义市地方政府债务余额分别为2,351.56亿元、2,788.41亿元、3,052.43亿元，2025年末债务限额3,071.14亿元，债务余额控制在限额以内；城投有息债务2025年末估算余额1,612.38亿元。债务率指标看，2025年末政府债务率425.06%、城投债务率224.53%、宽口径债务率649.59%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遵义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