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铜仁市信用评级报告(区域部分)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铜仁作为贵州省下辖地级市，经济总量列贵州省第六位，人均GDP约5.45万元、人均经济实力居全省中游，经济增速由3.56%回升至5.60%、动能边际改善；固定资产投资最新增速18.90%，经济运行总体平稳。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铜仁市2023、2024、2025年地区生产总值分别为1,571.32亿元、1,648.60亿元、1,722.66亿元，同比增长3.56%、4.90%、5.60%。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产业结构方面，2025年铜仁市三次产业结构为20.5:23.3:56.2，第三产业占主导、服务业是经济主体，农业基础较好。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2023、2024、2025年固定资产投资增速分别为0.40%、19.60%、18.90%，进出口总额4.44亿美元。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图表：2025年贵州省各地级市主要经济指标对比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6,038.15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3.6:29.5:66.8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666.89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遵义市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5,206.12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11.1:39.4:49.5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646.69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毕节市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2,541.14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22.6:25.8:51.5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660.83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15.4:29.6:55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348.97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六盘水市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1,777.75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10.8:41.3:47.9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303.47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1,722.66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20.5:23.3:56.2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黔西南布依族苗族自治州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1,535.28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19:27.3:53.7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黔东南苗族侗族自治州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19.3:21.6:59.1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1,232.35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17.1:27.2:55.7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铜仁市2025年GDP总量1,722.66亿元、列全省第六位，一般公共预算收入77.03亿元、列全省第八位。整体来看，铜仁市经济基本面在贵州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铜仁市财政体量在贵州省处于中游，税收占比54.01%、税收占比处于一般水平，但政府性基金收入较2023年累计增长64%；2025年末宽口径债务率680.64%、处于偏高水平，已显著高于公认的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铜仁市一般公共预算收入分别为72.26亿元、74.58亿元、77.03亿元，其中税收收入40.54亿元、40.10亿元、41.60亿元，税收占比维持在56.10%、53.77%、54.01%；一般公共预算支出471.26亿元、501.28亿元、504.76亿元，财政自给率15.33%、14.88%、15.26%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政府性基金收入方面，2023、2024、2025年分别为130.75亿元、161.51亿元、215.03亿元，政府性基金收入较2023年累计增长64%，反映地方综合财力对房地产周期的敞口。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图表：2023-2025年铜仁市财政收入情况(单位:亿元、%)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33.14%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资料来源:铜仁市财政决算、企业预警通,风控信评部整理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土地市场方面，【待补充:铜仁市土地出让与房地产销售数据（土地市场数据库未覆盖该市）】。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铜仁市地方政府债务余额分别为1,095.14亿元、1,423.00亿元、1,517.67亿元，2025年末债务限额1,528.43亿元，债务余额控制在限额以内；城投有息债务2025年末估算余额526.86亿元。债务率指标看，2025年末政府债务率505.24%、城投债务率175.40%、宽口径债务率680.64%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铜仁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