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黔东南苗族侗族自治州信用评级报告(区域部分)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东南苗族侗族自治州作为贵州省下辖的民族自治地区，经济总量列贵州省第八位，人均GDP约4.02万元、人均经济实力在省内相对靠后，经济增速由3.96%回升至5.00%、动能边际改善；固定资产投资最新增速6.30%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黔东南苗族侗族自治州2023、2024、2025年地区生产总值分别为1,360.34亿元、1,431.02亿元、1,500.24亿元，同比增长3.96%、5.60%、5.00%。截至2025年末，全市常住人口372.12万人，人均GDP约4.02万元。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产业结构方面，2025年黔东南苗族侗族自治州三次产业结构为19.3:21.6:59.1，第三产业占主导、服务业是经济主体，农业基础较好。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2023、2024、2025年固定资产投资增速分别为1.20%、9.40%、6.30%，2025年社会消费品零售总额729.20亿元，进出口总额1.40亿美元。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黔东南苗族侗族自治州2025年GDP总量1,500.24亿元、列全省第八位，一般公共预算收入83.67亿元、列全省第七位。整体来看，黔东南苗族侗族自治州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黔东南苗族侗族自治州财政体量在贵州省处于中游，税收占比50.61%、税收占比处于一般水平，但政府性基金收入较2023年累计增长13%；2025年末宽口径债务率648.37%、处于偏高水平，已显著高于公认的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黔东南苗族侗族自治州一般公共预算收入分别为77.25亿元、80.42亿元、83.67亿元，其中税收收入39.51亿元、42.05亿元、42.35亿元，税收占比维持在51.15%、52.29%、50.61%；一般公共预算支出492.40亿元、527.26亿元、556.54亿元，财政自给率15.69%、15.25%、15.03%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政府性基金收入方面，2023、2024、2025年分别为110.72亿元、106.44亿元、125.23亿元，政府性基金收入较2023年累计增长13%，反映地方综合财力对房地产周期的敞口。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图表：2023-2025年黔东南苗族侗族自治州财政收入情况(单位:亿元、%)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527.26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资料来源:黔东南苗族侗族自治州财政决算、企业预警通,风控信评部整理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土地市场方面，【待补充:黔东南苗族侗族自治州土地出让与房地产销售数据（土地市场数据库未覆盖该市）】。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黔东南苗族侗族自治州地方政府债务余额分别为872.00亿元、1,005.00亿元、1,139.12亿元，2025年末债务限额1,156.93亿元，债务余额控制在限额以内；城投有息债务2025年末估算余额240.04亿元。债务率指标看，2025年末政府债务率535.52%、城投债务率112.85%、宽口径债务率648.37%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黔东南苗族侗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