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黔南布依族苗族自治州信用评级报告(区域部分)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黔南布依族苗族自治州作为贵州省下辖的民族自治地区，经济总量列贵州省第四位，人均GDP约5.75万元、人均经济实力居全省中游，经济增速由3.20%回升至4.20%、动能边际改善；固定资产投资连续负增长（最新-15.00%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黔南布依族苗族自治州2023、2024、2025年地区生产总值分别为1,844.38亿元、1,944.74亿元、2,008.49亿元，同比增长3.20%、5.60%、4.20%。截至2025年末，全市常住人口348.97万人，人均GDP约5.75万元。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产业结构方面，2025年黔南布依族苗族自治州三次产业结构为15.4:29.6:55，第三产业占主导、服务业是经济主体，农业基础较好。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2023、2024、2025年固定资产投资增速分别为-13.20%、1.10%、-15.00%，2025年社会消费品零售总额801.11亿元，进出口总额5.32亿美元。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黔南布依族苗族自治州2025年GDP总量2,008.49亿元、列全省第四位，一般公共预算收入133.29亿元、列全省第四位。整体来看，黔南布依族苗族自治州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黔南布依族苗族自治州财政体量在贵州省处于中游，税收占比50.24%、税收占比处于一般水平，但政府性基金收入较2023年累计增长22%；2025年末宽口径债务率248.77%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黔南布依族苗族自治州一般公共预算收入分别为124.16亿元、128.39亿元、133.29亿元，其中税收收入60.21亿元、63.77亿元、66.96亿元，税收占比维持在48.49%、49.67%、50.24%；一般公共预算支出466.29亿元、503.01亿元、503.66亿元，财政自给率26.63%、25.52%、26.46%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政府性基金收入方面，2023、2024、2025年分别为269.83亿元、310.97亿元、328.14亿元，政府性基金收入较2023年累计增长22%，反映地方综合财力对房地产周期的敞口。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图表：2023-2025年黔南布依族苗族自治州财政收入情况(单位:亿元、%)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503.01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资料来源:黔南布依族苗族自治州财政决算、企业预警通,风控信评部整理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土地市场方面，【待补充:黔南布依族苗族自治州土地出让与房地产销售数据（土地市场数据库未覆盖该市）】。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黔南布依族苗族自治州地方政府债务余额分别为1,317.00亿元、1,570.00亿元、1,705.25亿元，2025年末债务限额1,717.32亿元，债务余额控制在限额以内；城投有息债务2025年末估算余额335.14亿元。债务率指标看，2025年末政府债务率207.91%、城投债务率40.86%、宽口径债务率248.77%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黔南布依族苗族自治州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