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丹东市信用评级报告(区域部分)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丹东作为辽宁省下辖地级市，经济总量列辽宁省第八位，人均经济实力居省内中游，经济增速由6.05%回落至3.70%、有所放缓；固定资产投资最新增速转负（-27.20%），经济动能仍有待修复。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丹东市2023、2024、2025年地区生产总值分别为977.76亿元、1,006.10亿元、1,019.20亿元，同比增长6.05%、5.00%、3.70%。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产业结构方面，2025年丹东市三次产业结构为19.6:25.4:55，第三产业占主导、服务业是经济主体，农业基础较好。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2023、2024、2025年固定资产投资增速分别为12.90%、2.20%、-27.20%，2025年社会消费品零售总额281.30亿元，进出口总额29.13亿美元。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图表：2025年辽宁省各地级市主要经济指标对比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10,002.10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5.1:35.5:59.4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沈阳市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9,100.30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4.1:32.8:63.1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5.8:31.1:63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营口市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1,570.20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8.2:31.4:60.4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盘锦市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7.8:46.9:45.3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1,365.30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16.6:26.5:56.9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朝阳市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21.3:27.7:51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丹东市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19.6:25.4:55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葫芦岛市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本溪市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5.9:37.2:56.9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6.4:36.9:56.7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辽阳市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10:42:48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铁岭市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9.2:61.7:29.1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丹东市2025年GDP总量1,019.20亿元、列全省第八位，一般公共预算收入84.50亿元、列全省第十位。整体来看，丹东市经济基本面在辽宁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丹东市财政体量在辽宁省处于中游，税收占比54.99%、税收占比处于一般水平，但政府性基金收入较2023年累计下降32%、土地财政贡献度弱化；2025年末宽口径债务率507.81%、处于偏高水平，已显著高于公认的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丹东市一般公共预算收入分别为74.67亿元、80.35亿元、84.50亿元，其中税收收入45.18亿元、43.95亿元、46.47亿元，税收占比维持在60.50%、54.70%、54.99%；一般公共预算支出239.51亿元、237.06亿元、235.58亿元，财政自给率31.18%、33.89%、35.87%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政府性基金收入方面，2023、2024、2025年分别为16.67亿元、9.41亿元、11.27亿元，政府性基金收入较2023年累计下降32%、土地财政贡献度弱化，反映地方综合财力对房地产周期的敞口。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图表：2023-2025年丹东市财政收入情况(单位:亿元、%)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237.06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235.58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-0.62%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-43.55%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19.77%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资料来源:丹东市财政决算、企业预警通,风控信评部整理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土地市场方面，【待补充:丹东市土地出让与房地产销售数据（土地市场数据库未覆盖该市）】。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丹东市地方政府债务余额分别为399.35亿元、423.20亿元、451.80亿元，2025年末债务限额459.60亿元，债务余额控制在限额以内；城投有息债务2025年末估算余额64.49亿元。债务率指标看，2025年末政府债务率444.38%、城投债务率63.43%、宽口径债务率507.81%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丹东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