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大连市信用评级报告(区域部分)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大连作为计划单列市，经济总量在辽宁省稳居第一，人均经济实力居省内中游，经济增速维持在5.70%左右、总体平稳；固定资产投资最新增速转负（-17.00%），经济动能仍有待修复。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大连市2023、2024、2025年地区生产总值分别为9,113.40亿元、9,540.20亿元、10,002.10亿元，同比增长5.95%、5.20%、5.70%。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产业结构方面，2025年大连市三次产业结构为5.1:35.5:59.4，以石化、装备制造、船舶、软件和港口物流为支柱，是东北对外开放门户和计划单列市，聚集大连船舶重工、恒力石化等企业。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2023、2024、2025年固定资产投资增速分别为0.63%、2.00%、-17.00%，2025年社会消费品零售总额2,180.80亿元，进出口总额628.96亿美元。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大连市2025年GDP总量10,002.10亿元、列全省第一位，一般公共预算收入749.40亿元、列全省第二位。整体来看，大连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大连市财政体量在辽宁省位居前列，税收占比67.49%、税收质量较好，但政府性基金收入较2023年累计增长32%；2025年末宽口径债务率517.08%、处于偏高水平，已显著高于公认的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大连市一般公共预算收入分别为750.24亿元、774.77亿元、749.40亿元，其中税收收入492.74亿元、489.26亿元、505.80亿元，税收占比维持在65.68%、63.15%、67.49%；一般公共预算支出1,013.50亿元、1,085.14亿元、1,122.20亿元，财政自给率74.02%、71.40%、66.78%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政府性基金收入方面，2023、2024、2025年分别为144.68亿元、140.80亿元、191.20亿元，政府性基金收入较2023年累计增长32%，反映地方综合财力对房地产周期的敞口。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图表：2023-2025年大连市财政收入情况(单位:亿元、%)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489.26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35.80%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资料来源:大连市财政决算、企业预警通,风控信评部整理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土地市场方面，【待补充:大连市土地出让与房地产销售数据（土地市场数据库未覆盖该市）】。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大连市地方政府债务余额分别为2,897.63亿元、3,173.85亿元、3,561.23亿元，2025年末债务限额3,716.92亿元，债务余额控制在限额以内；城投有息债务2025年末估算余额1,308.14亿元。债务率指标看，2025年末政府债务率378.17%、城投债务率138.91%、宽口径债务率517.08%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大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