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朝阳市信用评级报告(区域部分)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朝阳作为辽宁省下辖地级市，经济总量列辽宁省第七位，人均经济实力居省内中游，经济增速由5.25%回落至4.50%、有所放缓；固定资产投资最新增速转负（-24.60%），经济动能仍有待修复。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朝阳市2023、2024、2025年地区生产总值分别为1,043.69亿元、1,129.00亿元、1,156.70亿元，同比增长5.25%、5.80%、4.50%。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产业结构方面，2025年朝阳市三次产业结构为21.3:27.7:51，第三产业占主导、服务业是经济主体，农业基础较好。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2023、2024、2025年固定资产投资增速分别为7.80%、8.80%、-24.60%，2025年社会消费品零售总额345.30亿元，进出口总额10.37亿美元。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朝阳市2025年GDP总量1,156.70亿元、列全省第七位，一般公共预算收入90.31亿元、列全省第九位。整体来看，朝阳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朝阳市财政体量在辽宁省处于中游，税收占比63.26%、税收质量较好，但政府性基金收入较2023年累计下降41%、土地财政贡献度弱化；2025年末宽口径债务率424.67%、处于偏高水平，已显著高于公认的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朝阳市一般公共预算收入分别为82.67亿元、87.68亿元、90.31亿元，其中税收收入54.67亿元、57.65亿元、57.13亿元，税收占比维持在66.13%、65.74%、63.26%；一般公共预算支出318.31亿元、314.95亿元、301.34亿元，财政自给率25.97%、27.84%、29.97%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政府性基金收入方面，2023、2024、2025年分别为22.72亿元、12.56亿元、13.48亿元，政府性基金收入较2023年累计下降41%、土地财政贡献度弱化，反映地方综合财力对房地产周期的敞口。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图表：2023-2025年朝阳市财政收入情况(单位:亿元、%)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-44.72%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资料来源:朝阳市财政决算、企业预警通,风控信评部整理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土地市场方面，【待补充:朝阳市土地出让与房地产销售数据（土地市场数据库未覆盖该市）】。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朝阳市地方政府债务余额分别为340.69亿元、377.89亿元、425.04亿元，2025年末债务限额430.75亿元，债务余额控制在限额以内；城投有息债务2025年末估算余额22.63亿元。债务率指标看，2025年末政府债务率403.20%、城投债务率21.47%、宽口径债务率424.67%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朝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