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本溪市信用评级报告(区域部分)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本溪作为辽宁省下辖地级市，经济总量列辽宁省第十位，人均GDP约8.26万元、人均经济实力在省内相对靠后，经济增速由5.75%回落至3.80%、有所放缓；固定资产投资最新增速转负（-29.40%），经济动能仍有待修复。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本溪市2023、2024、2025年地区生产总值分别为975.80亿元、1,003.20亿元、1,006.02亿元，同比增长5.75%、5.50%、3.80%。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产业结构方面，2025年本溪市三次产业结构为5.9:37.2:56.9，第三产业占主导、服务业是经济主体。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2023、2024、2025年固定资产投资增速分别为8.30%、10.00%、-29.40%，2025年社会消费品零售总额169.30亿元，进出口总额25.23亿美元。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本溪市2025年GDP总量1,006.02亿元、列全省第十位，一般公共预算收入100.14亿元、列全省第七位。整体来看，本溪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本溪市财政体量在辽宁省处于中游，税收占比60.68%、税收质量较好，但政府性基金收入较2023年累计下降72%、土地财政贡献度弱化；2025年末宽口径债务率589.32%、处于偏高水平，已显著高于公认的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本溪市一般公共预算收入分别为80.07亿元、91.48亿元、100.14亿元，其中税收收入54.15亿元、59.78亿元、60.77亿元，税收占比维持在67.63%、65.34%、60.68%；一般公共预算支出172.13亿元、193.27亿元、180.20亿元，财政自给率46.52%、47.33%、55.57%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政府性基金收入方面，2023、2024、2025年分别为15.48亿元、8.15亿元、4.36亿元，政府性基金收入较2023年累计下降72%、土地财政贡献度弱化，反映地方综合财力对房地产周期的敞口。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图表：2023-2025年本溪市财政收入情况(单位:亿元、%)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-47.35%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-46.50%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资料来源:本溪市财政决算、企业预警通,风控信评部整理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土地市场方面，【待补充:本溪市土地出让与房地产销售数据（土地市场数据库未覆盖该市）】。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本溪市地方政府债务余额分别为391.56亿元、421.94亿元、449.94亿元，2025年末债务限额458.83亿元，债务余额控制在限额以内；城投有息债务2025年末估算余额182.43亿元。债务率指标看，2025年末政府债务率419.31%、城投债务率170.01%、宽口径债务率589.32%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本溪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