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沈阳市信用评级报告(区域部分)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沈阳作为辽宁省省会，经济总量列辽宁省第二位，人均GDP约9.83万元、人均经济实力居全省中游，经济增速由6.20%回落至2.00%、有所放缓；固定资产投资最新增速转负（-24.90%），经济动能仍有待修复。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沈阳市2023、2024、2025年地区生产总值分别为8,624.74亿元、9,032.50亿元、9,100.30亿元，同比增长6.20%、5.20%、2.00%。截至2025年末，全市常住人口927.60万人，人均GDP约9.83万元。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产业结构方面，2025年沈阳市三次产业结构为4.1:32.8:63.1，以汽车制造、高端装备、航空、机器人为支柱，聚集华晨宝马、沈鼓、新松机器人等企业。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2023、2024、2025年固定资产投资增速分别为1.51%、4.00%、-24.90%，2025年社会消费品零售总额4,195.40亿元，进出口总额189.18亿美元。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沈阳市2025年GDP总量9,100.30亿元、列全省第二位，一般公共预算收入794.23亿元、列全省第一位。整体来看，沈阳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沈阳市财政体量在辽宁省稳居第一，税收占比64.24%、税收质量较好，但政府性基金收入总体平稳；2025年末宽口径债务率222.87%、处于中等偏高水平，处于相对偏高区间，需关注债务扩张节奏。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沈阳市一般公共预算收入分别为800.85亿元、825.58亿元、794.23亿元，其中税收收入608.84亿元、547.54亿元、510.22亿元，税收占比维持在76.02%、66.32%、64.24%；一般公共预算支出1,084.06亿元、1,163.21亿元、1,031.93亿元，财政自给率73.88%、70.97%、76.97%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政府性基金收入方面，2023、2024、2025年分别为104.02亿元、171.64亿元、103.64亿元，政府性基金收入总体平稳，反映地方综合财力对房地产周期的敞口。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图表：2023-2025年沈阳市财政收入情况(单位:亿元、%)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-6.82%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1,084.06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-11.29%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76.97%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-39.62%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资料来源:沈阳市财政决算、企业预警通,风控信评部整理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土地市场方面，【待补充:沈阳市土地出让与房地产销售数据（土地市场数据库未覆盖该市）】。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沈阳市地方政府债务余额分别为2,275.25亿元、2,401.91亿元、2,684.81亿元，2025年末债务限额2,702.71亿元，债务余额控制在限额以内；城投有息债务2025年末估算余额1,331.67亿元。债务率指标看，2025年末政府债务率148.98%、城投债务率73.89%、宽口径债务率222.87%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沈阳市财政基本盘较为扎实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