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盘锦市信用评级报告(区域部分)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盘锦作为辽宁省下辖地级市，经济总量列辽宁省第五位，人均GDP约10.20万元、人均经济实力居全省前列，经济增速由1.65%回升至3.30%、动能边际改善；固定资产投资最新增速6.50%，经济运行总体平稳。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盘锦市2023、2024、2025年地区生产总值分别为1,382.07亿元、1,413.54亿元、1,417.60亿元，同比增长1.65%、4.00%、3.30%。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产业结构方面，2025年盘锦市三次产业结构为7.8:46.9:45.3，第二产业占比较高、工业是经济支柱。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2023、2024、2025年固定资产投资增速分别为-7.00%、39.60%、6.50%，2025年社会消费品零售总额321.90亿元，进出口总额21.27亿美元。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盘锦市2025年GDP总量1,417.60亿元、列全省第五位，一般公共预算收入150.09亿元、列全省第四位。整体来看，盘锦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盘锦市财政体量在辽宁省处于中游，税收占比67.83%、税收质量较好，但政府性基金收入较2023年累计增长172%；2025年末宽口径债务率820.98%、处于偏高水平，已显著高于公认的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盘锦市一般公共预算收入分别为129.64亿元、140.45亿元、150.09亿元，其中税收收入101.79亿元、102.41亿元、101.81亿元，税收占比维持在78.52%、72.92%、67.83%；一般公共预算支出210.10亿元、210.80亿元、216.31亿元，财政自给率61.71%、66.63%、69.39%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政府性基金收入方面，2023、2024、2025年分别为5.92亿元、12.76亿元、16.10亿元，政府性基金收入较2023年累计增长172%，反映地方综合财力对房地产周期的敞口。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图表：2023-2025年盘锦市财政收入情况(单位:亿元、%)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资料来源:盘锦市财政决算、企业预警通,风控信评部整理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土地市场方面，【待补充:盘锦市土地出让与房地产销售数据（土地市场数据库未覆盖该市）】。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盘锦市地方政府债务余额分别为1,072.38亿元、1,171.06亿元、1,251.98亿元，2025年末债务限额1,271.85亿元，债务余额控制在限额以内；城投有息债务2025年末估算余额394.26亿元。债务率指标看，2025年末政府债务率624.36%、城投债务率196.62%、宽口径债务率820.98%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盘锦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