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营口市信用评级报告(区域部分)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营口作为辽宁省下辖地级市，经济总量列辽宁省第四位，人均经济实力居省内中游，经济增速由5.25%回落至4.50%、有所放缓；固定资产投资最新增速转负（-27.90%），经济动能仍有待修复。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营口市2023、2024、2025年地区生产总值分别为1,529.40亿元、1,560.29亿元、1,570.20亿元，同比增长5.25%、5.10%、4.50%。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产业结构方面，2025年营口市三次产业结构为8.2:31.4:60.4，第三产业占主导、服务业是经济主体。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2023、2024、2025年固定资产投资增速分别为7.51%、7.30%、-27.90%，2025年社会消费品零售总额445.30亿元，进出口总额56.22亿美元。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营口市2025年GDP总量1,570.20亿元、列全省第四位，一般公共预算收入146.02亿元、列全省第五位。整体来看，营口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营口市财政体量在辽宁省处于中游，税收占比59.19%、税收占比处于一般水平，但政府性基金收入较2023年累计下降24%、土地财政贡献度弱化；2025年末宽口径债务率889.11%、处于偏高水平，已显著高于公认的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营口市一般公共预算收入分别为137.09亿元、140.56亿元、146.02亿元，其中税收收入97.42亿元、91.60亿元、86.43亿元，税收占比维持在71.06%、65.17%、59.19%；一般公共预算支出251.13亿元、250.44亿元、253.59亿元，财政自给率54.59%、56.12%、57.58%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政府性基金收入方面，2023、2024、2025年分别为26.77亿元、12.72亿元、20.31亿元，政府性基金收入较2023年累计下降24%、土地财政贡献度弱化，反映地方综合财力对房地产周期的敞口。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图表：2023-2025年营口市财政收入情况(单位:亿元、%)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250.44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-52.48%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资料来源:营口市财政决算、企业预警通,风控信评部整理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土地市场方面，【待补充:营口市土地出让与房地产销售数据（土地市场数据库未覆盖该市）】。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营口市地方政府债务余额分别为1,202.09亿元、1,352.03亿元、1,434.44亿元，2025年末债务限额1,459.21亿元，债务余额控制在限额以内；城投有息债务2025年末估算余额90.10亿元。债务率指标看，2025年末政府债务率836.57%、城投债务率52.54%、宽口径债务率889.11%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营口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