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葫芦岛市信用评级报告(区域部分)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葫芦岛作为辽宁省下辖地级市，经济总量列辽宁省第九位，人均经济实力居省内中游，经济增速由5.95%回落至3.50%、有所放缓；固定资产投资最新增速1.60%，经济运行总体平稳。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葫芦岛市2023、2024、2025年地区生产总值分别为970.20亿元、1,002.50亿元、1,013.70亿元，同比增长5.95%、5.00%、3.50%。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产业结构方面，葫芦岛作为辽宁省下辖地级市，区域产业结构以本地优势产业为主。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2023、2024、2025年固定资产投资增速分别为15.60%、13.20%、1.60%，2025年社会消费品零售总额280.80亿元，进出口总额6.16亿美元。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葫芦岛市2025年GDP总量1,013.70亿元、列全省第九位，一般公共预算收入80.05亿元、列全省第11位。整体来看，葫芦岛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葫芦岛市财政体量在辽宁省处于中游，税收占比62.99%、税收质量较好，但政府性基金收入总体平稳；2025年末宽口径债务率669.70%、处于偏高水平，已显著高于公认的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葫芦岛市一般公共预算收入分别为68.21亿元、75.25亿元、80.05亿元，其中税收收入49.71亿元、49.87亿元、50.42亿元，税收占比维持在72.87%、66.27%、62.99%；一般公共预算支出233.55亿元、236.71亿元、250.04亿元，财政自给率29.21%、31.79%、32.01%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政府性基金收入方面，2023、2024、2025年分别为13.42亿元、17.20亿元、14.38亿元，政府性基金收入总体平稳，反映地方综合财力对房地产周期的敞口。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图表：2023-2025年葫芦岛市财政收入情况(单位:亿元、%)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-16.40%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资料来源:葫芦岛市财政决算、企业预警通,风控信评部整理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土地市场方面，【待补充:葫芦岛市土地出让与房地产销售数据（土地市场数据库未覆盖该市）】。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葫芦岛市地方政府债务余额分别为546.37亿元、568.52亿元、595.90亿元，2025年末债务限额606.01亿元，债务余额控制在限额以内；城投有息债务2025年末估算余额43.64亿元。债务率指标看，2025年末政府债务率624.01%、城投债务率45.70%、宽口径债务率669.70%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葫芦岛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