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辽阳市信用评级报告(区域部分)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辽阳作为辽宁省下辖地级市，经济总量列辽宁省第12位，人均经济实力居省内中游，经济增速由1.55%回升至4.10%、动能边际改善；固定资产投资最新增速转负（-23.70%），经济动能仍有待修复。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辽阳市2023、2024、2025年地区生产总值分别为916.70亿元、966.20亿元、1,001.20亿元，同比增长1.55%、5.10%、4.10%。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产业结构方面，2025年辽阳市三次产业结构为10:42:48，第三产业占主导、服务业是经济主体。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2023、2024、2025年固定资产投资增速分别为0.78%、0.00%、-23.70%，2025年社会消费品零售总额293.10亿元，进出口总额4.61亿美元。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辽阳市2025年GDP总量1,001.20亿元、列全省第12位，一般公共预算收入91.11亿元、列全省第八位。整体来看，辽阳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辽阳市财政体量在辽宁省处于中游，税收占比74.08%、税收质量较好，但政府性基金收入较2023年累计下降63%、土地财政贡献度弱化；2025年末宽口径债务率581.14%、处于偏高水平，已显著高于公认的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辽阳市一般公共预算收入分别为79.82亿元、86.33亿元、91.11亿元，其中税收收入56.26亿元、59.80亿元、67.50亿元，税收占比维持在70.48%、69.26%、74.08%；一般公共预算支出212.80亿元、204.24亿元、168.31亿元，财政自给率37.51%、42.27%、54.13%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政府性基金收入方面，2023、2024、2025年分别为12.00亿元、12.51亿元、4.44亿元，政府性基金收入较2023年累计下降63%、土地财政贡献度弱化，反映地方综合财力对房地产周期的敞口。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图表：2023-2025年辽阳市财政收入情况(单位:亿元、%)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204.24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-64.51%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资料来源:辽阳市财政决算、企业预警通,风控信评部整理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土地市场方面，【待补充:辽阳市土地出让与房地产销售数据（土地市场数据库未覆盖该市）】。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辽阳市地方政府债务余额分别为428.60亿元、477.54亿元、527.49亿元，2025年末债务限额534.81亿元，债务余额控制在限额以内；城投有息债务2025年末估算余额74.48亿元。债务率指标看，2025年末政府债务率509.23%、城投债务率71.91%、宽口径债务率581.14%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辽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