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铁岭市信用评级报告(区域部分)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铁岭作为辽宁省下辖地级市，经济总量列辽宁省第13位，人均经济实力居省内中游，经济增速由5.35%回落至2.80%、有所放缓；固定资产投资连续负增长（最新-11.80%），经济动能仍有待修复。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铁岭市2023、2024、2025年地区生产总值分别为777.70亿元、782.80亿元、788.90亿元，同比增长5.35%、3.80%、2.80%。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产业结构方面，铁岭作为辽宁省下辖地级市，区域产业结构以本地优势产业为主。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2023、2024、2025年固定资产投资增速分别为6.33%、-4.20%、-11.80%，2025年社会消费品零售总额185.50亿元。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铁岭市2025年GDP总量788.90亿元、列全省第13位，一般公共预算收入60.54亿元、列全省第13位。整体来看，铁岭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铁岭市财政体量在辽宁省处于中游，税收占比63.75%、税收质量较好，但政府性基金收入较2023年累计下降27%、土地财政贡献度弱化；2025年末宽口径债务率1051.16%、处于偏高水平，已显著高于公认的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铁岭市一般公共预算收入分别为51.61亿元、57.57亿元、60.54亿元，其中税收收入36.40亿元、39.37亿元、38.59亿元，税收占比维持在70.53%、68.38%、63.75%；一般公共预算支出238.03亿元、243.57亿元、235.70亿元，财政自给率21.68%、23.64%、25.69%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政府性基金收入方面，2023、2024、2025年分别为5.18亿元、5.28亿元、3.80亿元，政府性基金收入较2023年累计下降27%、土地财政贡献度弱化，反映地方综合财力对房地产周期的敞口。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图表：2023-2025年铁岭市财政收入情况(单位:亿元、%)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-28.03%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资料来源:铁岭市财政决算、企业预警通,风控信评部整理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土地市场方面，【待补充:铁岭市土地出让与房地产销售数据（土地市场数据库未覆盖该市）】。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铁岭市地方政府债务余额分别为393.75亿元、487.29亿元、542.23亿元，2025年末债务限额548.65亿元，债务余额控制在限额以内；城投有息债务2025年末估算余额141.00亿元。债务率指标看，2025年末政府债务率834.23%、城投债务率216.93%、宽口径债务率1051.16%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铁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