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锦州市信用评级报告(区域部分)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锦州作为辽宁省下辖地级市，经济总量列辽宁省第六位，人均经济实力居省内中游，经济增速由5.35%回落至4.60%、有所放缓；固定资产投资最新增速转负（-23.40%），经济动能仍有待修复。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锦州市2023、2024、2025年地区生产总值分别为1,320.10亿元、1,353.56亿元、1,365.30亿元，同比增长5.35%、5.90%、4.60%。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产业结构方面，2025年锦州市三次产业结构为16.6:26.5:56.9，第三产业占主导、服务业是经济主体，农业基础较好。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2023、2024、2025年固定资产投资增速分别为7.52%、9.60%、-23.40%，2025年社会消费品零售总额400.30亿元，进出口总额15.99亿美元。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锦州市2025年GDP总量1,365.30亿元、列全省第六位，一般公共预算收入126.60亿元、列全省第六位。整体来看，锦州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锦州市财政体量在辽宁省处于中游，税收占比44.87%、税收占比处于一般水平，但政府性基金收入总体平稳；2025年末宽口径债务率576.37%、处于偏高水平，已显著高于公认的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锦州市一般公共预算收入分别为114.29亿元、121.38亿元、126.60亿元，其中税收收入72.44亿元、64.23亿元、56.80亿元，税收占比维持在63.38%、52.91%、44.87%；一般公共预算支出278.92亿元、308.59亿元、262.00亿元，财政自给率40.98%、39.33%、48.32%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政府性基金收入方面，2023、2024、2025年分别为13.76亿元、17.90亿元、14.50亿元，政府性基金收入总体平稳，反映地方综合财力对房地产周期的敞口。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图表：2023-2025年锦州市财政收入情况(单位:亿元、%)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308.59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-15.10%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-18.99%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资料来源:锦州市财政决算、企业预警通,风控信评部整理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土地市场方面，【待补充:锦州市土地出让与房地产销售数据（土地市场数据库未覆盖该市）】。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锦州市地方政府债务余额分别为577.40亿元、605.73亿元、630.00亿元，2025年末债务限额640.71亿元，债务余额控制在限额以内；城投有息债务2025年末估算余额183.31亿元。债务率指标看，2025年末政府债务率446.46%、城投债务率129.90%、宽口径债务率576.37%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锦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