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大兴安岭地区信用评级报告(区域部分)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大兴安岭地区作为黑龙江省下辖的民族自治地区，经济总量列黑龙江省第13位，人均经济实力居省内中游，经济增速由-0.44%回升至4.20%、动能边际改善；固定资产投资最新增速7.40%，经济运行总体平稳。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大兴安岭地区2023、2024、2025年地区生产总值分别为172.13亿元、172.90亿元、177.50亿元，同比增长-0.44%、3.70%、4.20%。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产业结构方面，大兴安岭地区作为黑龙江省下辖的民族自治地区，区域产业结构以本地优势产业为主。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2023、2024、2025年固定资产投资增速分别为-4.30%、9.40%、7.40%。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大兴安岭地区2025年GDP总量177.50亿元、列全省第13位，一般公共预算收入14.97亿元、列全省第12位。整体来看，大兴安岭地区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兴安岭地区财政体量在黑龙江省处于中游，税收占比51.26%、税收占比处于一般水平，但政府性基金收入较2023年累计下降32%、土地财政贡献度弱化；2025年末宽口径债务率35.29%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大兴安岭地区一般公共预算收入分别为13.79亿元、14.91亿元、14.97亿元，其中税收收入7.34亿元、7.79亿元、7.67亿元，税收占比维持在53.25%、52.27%、51.26%；一般公共预算支出113.37亿元、121.46亿元、130.37亿元，财政自给率12.16%、12.28%、11.48%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政府性基金收入方面，2023、2024、2025年分别为1.04亿元、0.71亿元、0.71亿元，政府性基金收入较2023年累计下降32%、土地财政贡献度弱化，反映地方综合财力对房地产周期的敞口。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图表：2023-2025年大兴安岭地区财政收入情况(单位:亿元、%)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-31.73%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资料来源:大兴安岭地区财政决算、企业预警通,风控信评部整理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土地市场方面，【待补充:大兴安岭地区土地出让与房地产销售数据（土地市场数据库未覆盖该市）】。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大兴安岭地区地方政府债务余额分别为46.19亿元、50.98亿元、58.52亿元，2025年末债务限额59.26亿元，债务余额控制在限额以内；城投有息债务2025年末估算余额—亿元。债务率指标看，2025年末政府债务率35.29%、城投债务率—、宽口径债务率35.29%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大兴安岭地区财政基本盘总体稳健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