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大庆市信用评级报告(区域部分)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大庆作为黑龙江省下辖地级市，经济总量列黑龙江省第二位，人均GDP约10.50万元、人均经济实力居全省前列，经济增速由1.74%回升至3.50%、动能边际改善；固定资产投资最新增速转负（-4.30%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大庆市2023、2024、2025年地区生产总值分别为2,798.65亿元、2,798.80亿元、2,693.20亿元，同比增长1.74%、3.20%、3.50%。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产业结构方面，大庆作为黑龙江省下辖地级市，区域产业结构以本地优势产业为主。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2023、2024年固定资产投资增速分别为8.10%、-4.30%，2025年社会消费品零售总额640.00亿元，进出口总额198.47亿美元。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图表：2025年黑龙江省各地级市主要经济指标对比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哈尔滨市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6,188.50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2,693.20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齐齐哈尔市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绥化市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1,285.10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40.8:14.6:44.6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339.40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牡丹江市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1,094.77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19.5:17.4:63.1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96.26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佳木斯市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1,052.30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40.4:9:50.6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黑河市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742.30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31.3:14.1:54.6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119.00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鸡西市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648.50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32.7:18.7:48.6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双鸭山市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571.10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34.8:20.3:44.9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392.20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伊春市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380.90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34.8:17:48.2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80.20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七台河市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34.68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大兴安岭地区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177.50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14.97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大庆市2025年GDP总量2,693.20亿元、列全省第二位，一般公共预算收入206.10亿元、列全省第二位。整体来看，大庆市经济基本面在黑龙江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大庆市财政体量在黑龙江省位居前列，税收占比—、税收占比处于一般水平，但政府性基金收入总体平稳；2025年末宽口径债务率153.05%、处于可控水平，整体处于可控水平。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大庆市一般公共预算收入分别为170.08亿元、167.89亿元、206.10亿元，其中税收收入116.52亿元、123.55亿元、—亿元，税收占比维持在68.51%、73.59%、—；一般公共预算支出368.95亿元、398.16亿元、426.80亿元，财政自给率46.10%、42.17%、48.29%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政府性基金收入方面，2023、2024、2025年分别为15.74亿元、17.91亿元、14.40亿元，政府性基金收入总体平稳，反映地方综合财力对房地产周期的敞口。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图表：2023-2025年大庆市财政收入情况(单位:亿元、%)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170.08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167.89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206.10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22.76%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116.52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68.51%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73.59%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368.95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398.16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7.92%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7.19%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42.17%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48.29%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15.74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17.91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13.79%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-19.60%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资料来源:大庆市财政决算、企业预警通,风控信评部整理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土地市场方面，【待补充:大庆市土地出让与房地产销售数据（土地市场数据库未覆盖该市）】。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大庆市地方政府债务余额分别为503.44亿元、602.25亿元、737.85亿元，2025年末债务限额742.19亿元，债务余额控制在限额以内；城投有息债务2025年末估算余额167.28亿元。债务率指标看，2025年末政府债务率124.76%、城投债务率28.29%、宽口径债务率153.05%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大庆市财政基本盘较为扎实，但土地财政收缩与债务规模扩张是当前主要压力线；我们预计宽口径债务率短期内将维持可控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