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牡丹江市信用评级报告(区域部分)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牡丹江作为黑龙江省下辖地级市，经济总量列黑龙江省第五位，人均GDP约5.06万元、人均经济实力居全省中游，经济增速由4.24%回升至4.80%、动能边际改善；固定资产投资连续负增长（最新-28.50%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牡丹江市2023、2024、2025年地区生产总值分别为1,045.41亿元、1,051.36亿元、1,094.77亿元，同比增长4.24%、3.85%、4.80%。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产业结构方面，2025年牡丹江市三次产业结构为19.5:17.4:63.1，第三产业占主导、服务业是经济主体，农业基础较好。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2023、2024、2025年固定资产投资增速分别为-3.30%、3.60%、-28.50%，2025年社会消费品零售总额494.70亿元，进出口总额59.01亿美元。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牡丹江市2025年GDP总量1,094.77亿元、列全省第五位，一般公共预算收入96.26亿元、列全省第四位。整体来看，牡丹江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牡丹江市财政体量在黑龙江省处于中游，税收占比—、税收占比处于一般水平，但政府性基金收入较2023年累计增长26%；2025年末宽口径债务率993.73%、处于偏高水平，已显著高于公认的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牡丹江市一般公共预算收入分别为88.29亿元、89.01亿元、96.26亿元，其中税收收入32.84亿元、33.01亿元、—亿元，税收占比维持在37.20%、37.09%、—；一般公共预算支出351.86亿元、390.29亿元、378.43亿元，财政自给率25.09%、22.81%、25.44%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政府性基金收入方面，2023、2024、2025年分别为6.01亿元、7.06亿元、7.57亿元，政府性基金收入较2023年累计增长26%，反映地方综合财力对房地产周期的敞口。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图表：2023-2025年牡丹江市财政收入情况(单位:亿元、%)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378.43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资料来源:牡丹江市财政决算、企业预警通,风控信评部整理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土地市场方面，【待补充:牡丹江市土地出让与房地产销售数据（土地市场数据库未覆盖该市）】。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牡丹江市地方政府债务余额分别为576.18亿元、706.02亿元、821.71亿元，2025年末债务限额831.51亿元，债务余额控制在限额以内；城投有息债务2025年末估算余额211.20亿元。债务率指标看，2025年末政府债务率790.55%、城投债务率203.19%、宽口径债务率993.73%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牡丹江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