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绥化市信用评级报告(区域部分)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绥化作为黑龙江省下辖地级市，经济总量列黑龙江省第四位，人均GDP约3.75万元、人均经济实力在省内相对靠后，经济增速由3.03%回升至3.40%、动能边际改善；固定资产投资连续负增长（最新-5.00%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绥化市2023、2024、2025年地区生产总值分别为1,240.75亿元、1,243.99亿元、1,285.10亿元，同比增长3.03%、3.16%、3.40%。截至2025年末，全市常住人口339.40万人，人均GDP约3.75万元。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产业结构方面，2025年绥化市三次产业结构为40.8:14.6:44.6，第三产业占主导、服务业是经济主体，农业基础较好。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2023、2024、2025年固定资产投资增速分别为1.70%、-15.10%、-5.00%，2025年社会消费品零售总额334.60亿元，进出口总额8.61亿美元。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图表：2025年黑龙江省各地级市主要经济指标对比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哈尔滨市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6,188.50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齐齐哈尔市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绥化市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40.8:14.6:44.6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牡丹江市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1,094.77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19.5:17.4:63.1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佳木斯市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40.4:9:50.6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黑河市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31.3:14.1:54.6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鸡西市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32.7:18.7:48.6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双鸭山市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34.8:20.3:44.9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34.8:17:48.2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七台河市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大兴安岭地区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绥化市2025年GDP总量1,285.10亿元、列全省第四位，一般公共预算收入91.96亿元、列全省第五位。整体来看，绥化市经济基本面在黑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绥化市财政体量在黑龙江省处于中游，税收占比38.30%、税收占比处于一般水平，但政府性基金收入较2023年累计增长11%；2025年末宽口径债务率680.31%、处于偏高水平，已显著高于公认的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绥化市一般公共预算收入分别为79.37亿元、83.41亿元、91.96亿元，其中税收收入33.96亿元、33.63亿元、35.22亿元，税收占比维持在42.79%、40.32%、38.30%；一般公共预算支出513.38亿元、558.41亿元、545.02亿元，财政自给率15.46%、14.94%、16.87%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政府性基金收入方面，2023、2024、2025年分别为15.76亿元、12.17亿元、17.57亿元，政府性基金收入较2023年累计增长11%，反映地方综合财力对房地产周期的敞口。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图表：2023-2025年绥化市财政收入情况(单位:亿元、%)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558.41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545.02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-2.40%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-22.78%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44.37%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资料来源:绥化市财政决算、企业预警通,风控信评部整理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土地市场方面，【待补充:绥化市土地出让与房地产销售数据（土地市场数据库未覆盖该市）】。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绥化市地方政府债务余额分别为551.32亿元、613.24亿元、728.80亿元，2025年末债务限额735.16亿元，债务余额控制在限额以内；城投有息债务2025年末估算余额27.73亿元。债务率指标看，2025年末政府债务率655.38%、城投债务率24.94%、宽口径债务率680.31%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绥化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