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鸡西市信用评级报告(区域部分)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鸡西作为黑龙江省下辖地级市，经济总量列黑龙江省第八位，人均GDP约4.67万元、人均经济实力在省内相对靠后，经济增速由1.31%回升至3.70%、动能边际改善；固定资产投资连续负增长（最新-35.00%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鸡西市2023、2024、2025年地区生产总值分别为668.66亿元、621.40亿元、648.50亿元，同比增长1.31%、-1.10%、3.70%。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产业结构方面，2025年鸡西市三次产业结构为32.7:18.7:48.6，第三产业占主导、服务业是经济主体，农业基础较好。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2023、2024、2025年固定资产投资增速分别为-5.70%、-8.20%、-35.00%，2025年社会消费品零售总额163.20亿元，进出口总额10.53亿美元。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图表：2025年黑龙江省各地级市主要经济指标对比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哈尔滨市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6,188.50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368.31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2,693.20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206.10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齐齐哈尔市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1,402.10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绥化市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1,285.10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40.8:14.6:44.6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339.40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牡丹江市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1,094.77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19.5:17.4:63.1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佳木斯市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1,052.30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40.4:9:50.6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黑河市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31.3:14.1:54.6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119.00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鸡西市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648.50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32.7:18.7:48.6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双鸭山市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34.8:20.3:44.9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鹤岗市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伊春市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34.8:17:48.2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七台河市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249.40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大兴安岭地区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鸡西市2025年GDP总量648.50亿元、列全省第八位，一般公共预算收入55.20亿元、列全省第九位。整体来看，鸡西市经济基本面在黑龙江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鸡西市财政体量在黑龙江省处于中游，税收占比37.32%、税收占比处于一般水平，但政府性基金收入总体平稳；2025年末宽口径债务率887.93%、处于偏高水平，已显著高于公认的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鸡西市一般公共预算收入分别为49.66亿元、51.36亿元、55.20亿元，其中税收收入27.23亿元、23.53亿元、20.60亿元，税收占比维持在54.83%、45.82%、37.32%；一般公共预算支出237.65亿元、260.63亿元、245.80亿元，财政自给率20.90%、19.71%、22.46%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政府性基金收入方面，2023、2024、2025年分别为5.64亿元、4.76亿元、5.30亿元，政府性基金收入总体平稳，反映地方综合财力对房地产周期的敞口。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图表：2023-2025年鸡西市财政收入情况(单位:亿元、%)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7.48%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-13.59%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-12.45%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54.83%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45.82%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37.32%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237.65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260.63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9.67%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245.80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-5.69%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19.71%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22.46%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11.34%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资料来源:鸡西市财政决算、企业预警通,风控信评部整理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土地市场方面，【待补充:鸡西市土地出让与房地产销售数据（土地市场数据库未覆盖该市）】。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鸡西市地方政府债务余额分别为264.30亿元、359.98亿元、400.79亿元，2025年末债务限额403.71亿元，债务余额控制在限额以内；城投有息债务2025年末估算余额136.87亿元。债务率指标看，2025年末政府债务率661.90%、城投债务率226.03%、宽口径债务率887.93%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鸡西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