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临沧市信用评级报告(区域部分)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临沧经济总量列云南省第11位，人均GDP约5.17万元、人均经济实力在省内相对靠后，经济增速由3.80%回落至0.20%、有所放缓；固定资产投资连续负增长（最新-27.90%），经济动能仍有待修复。【待补充：临沧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临沧市2023、2024、2025年地区生产总值分别为1,107.40亿元、1,122.79亿元、1,127.75亿元，同比增长3.80%、3.60%、0.20%。截至2025年末，全市常住人口217.10万人，人均GDP约5.17万元。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产业结构方面，2025年临沧市三次产业结构为30.7:20.6:48.7。【待补充：支柱产业、主要龙头企业、对外贸易等定性描述（数据库未覆盖）】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2023、2024、2025年固定资产投资增速分别为-6.40%、-8.17%、-27.90%，2025年社会消费品零售总额459.16亿元，进出口总额6.46亿美元。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图表：2025年云南省各地级市主要经济指标对比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昆明市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8,637.45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9.89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4.1:28.7:67.2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575.00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874.40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曲靖市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3,777.60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14.3:34:51.7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164.21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558.30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红河哈尼族彝族自治州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3,154.52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13:35:52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153.95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玉溪市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2,688.30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11.89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9.66:41.36:48.98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148.21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225.50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昭通市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2,103.40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12.7:38.2:49.1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120.19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479.20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大理白族自治州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2,087.51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20.3:27.9:51.8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108.02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332.10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楚雄彝族自治州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2,040.17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18.1:38.6:43.3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107.20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232.40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文山壮族苗族自治州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1,632.64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16.7:36:47.3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335.40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保山市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1,347.01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22.3:32.3:45.4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65.42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237.40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普洱市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1,252.40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23.2:23.2:53.6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230.70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临沧市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1,127.75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30.7:20.6:48.7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217.10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西双版纳傣族自治州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940.83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21.1:23:55.9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39.92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135.90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丽江市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744.27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11.9:33.9:54.2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德宏傣族景颇族自治州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648.07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35.59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迪庆藏族自治州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316.65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怒江傈僳族自治州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288.98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临沧市2025年GDP总量1,127.75亿元、列全省第11位，一般公共预算收入51.54亿元、列全省第12位。整体来看，临沧市经济基本面在云南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临沧市财政体量在云南省处于中游，税收占比49.18%、税收占比处于一般水平，但政府性基金收入较2023年累计下降37%、土地财政贡献度弱化；2025年末宽口径债务率197.44%、处于可控水平，整体处于可控水平。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临沧市一般公共预算收入分别为50.19亿元、50.76亿元、51.54亿元，其中税收收入24.28亿元、24.72亿元、25.35亿元，税收占比维持在48.38%、48.70%、49.18%；一般公共预算支出268.11亿元、270.98亿元、266.52亿元，财政自给率18.72%、18.73%、19.34%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政府性基金收入方面，2023、2024、2025年分别为24.05亿元、20.23亿元、15.11亿元，政府性基金收入较2023年累计下降37%、土地财政贡献度弱化，反映地方综合财力对房地产周期的敞口。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图表：2023-2025年临沧市财政收入情况(单位:亿元、%)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50.19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50.76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1.14%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1.54%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24.28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1.81%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2.55%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48.38%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49.18%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268.11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270.98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1.07%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266.52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-1.65%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18.72%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18.73%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19.34%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24.05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-15.88%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-25.31%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资料来源:临沧市财政决算、企业预警通,风控信评部整理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土地市场方面，【待补充:临沧市土地出让与房地产销售数据（土地市场数据库未覆盖该市）】。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临沧市地方政府债务余额分别为526.10亿元、587.10亿元、689.07亿元，2025年末债务限额701.62亿元，债务余额控制在限额以内；城投有息债务2025年末估算余额41.40亿元。债务率指标看，2025年末政府债务率186.25%、城投债务率11.19%、宽口径债务率197.44%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临沧市财政基本盘总体稳健，但土地财政收缩与债务规模扩张是当前主要压力线；我们预计宽口径债务率短期内将维持可控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