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丽江市信用评级报告(区域部分)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丽江经济总量列云南省第13位，人均GDP约—万元、人均经济实力居省内中游，经济增速由7.50%回落至4.50%、有所放缓；固定资产投资最新增速0.60%，经济运行总体平稳。【待补充：丽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丽江市2023、2024、2025年地区生产总值分别为685.54亿元、708.51亿元、744.27亿元，同比增长7.50%、4.60%、4.50%。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产业结构方面，2025年丽江市三次产业结构为11.9:33.9:54.2。【待补充：支柱产业、主要龙头企业、对外贸易等定性描述（数据库未覆盖）】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2023、2024、2025年固定资产投资增速分别为0.30%、1.50%、0.60%，2025年社会消费品零售总额334.05亿元，进出口总额0.36亿美元。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丽江市2025年GDP总量744.27亿元、列全省第13位，一般公共预算收入56.78亿元、列全省第11位。整体来看，丽江市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丽江市财政体量在云南省处于中游，税收占比50.86%、税收占比处于一般水平，但政府性基金收入较2023年累计增长19%；2025年末宽口径债务率256.51%、处于中等偏高水平，处于相对偏高区间，需关注债务扩张节奏。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丽江市一般公共预算收入分别为46.77亿元、56.67亿元、56.78亿元，其中税收收入25.06亿元、25.04亿元、28.88亿元，税收占比维持在53.59%、44.19%、50.86%；一般公共预算支出175.29亿元、181.01亿元、176.32亿元，财政自给率26.68%、31.31%、32.20%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政府性基金收入方面，2023、2024、2025年分别为14.35亿元、15.13亿元、17.07亿元，政府性基金收入较2023年累计增长19%，反映地方综合财力对房地产周期的敞口。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图表：2023-2025年丽江市财政收入情况(单位:亿元、%)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资料来源:丽江市财政决算、企业预警通,风控信评部整理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土地市场方面，【待补充:丽江市土地出让与房地产销售数据（土地市场数据库未覆盖该市）】。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丽江市地方政府债务余额分别为419.40亿元、453.03亿元、478.08亿元，2025年末债务限额486.66亿元，债务余额控制在限额以内；城投有息债务2025年末估算余额39.26亿元。债务率指标看，2025年末政府债务率237.04%、城投债务率19.47%、宽口径债务率256.51%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丽江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