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保山市信用评级报告(区域部分)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保山经济总量列云南省第九位，人均GDP约5.67万元、人均经济实力居全省中游，经济增速由1.40%回升至5.00%、动能边际改善；固定资产投资最新增速7.40%，经济运行总体平稳。【待补充：保山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保山市2023、2024、2025年地区生产总值分别为1,262.09亿元、1,279.17亿元、1,347.01亿元，同比增长1.40%、2.50%、5.00%。截至2025年末，全市常住人口237.40万人，人均GDP约5.67万元（按当年GDP与常住人口估算）。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产业结构方面，2025年保山市三次产业结构为22.3:32.3:45.4。【待补充：支柱产业、主要龙头企业、对外贸易等定性描述（数据库未覆盖）】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2023、2024、2025年固定资产投资增速分别为-0.70%、3.90%、7.40%，2025年社会消费品零售总额595.02亿元，进出口总额10.82亿美元。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保山市2025年GDP总量1,347.01亿元、列全省第九位，一般公共预算收入65.42亿元、列全省第九位。整体来看，保山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保山市财政体量在云南省处于中游，税收占比60.43%、税收质量较好，但政府性基金收入较2023年累计下降17%、土地财政贡献度弱化；2025年末宽口径债务率327.29%、处于偏高水平，已显著高于公认的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保山市一般公共预算收入分别为69.52亿元、60.22亿元、65.42亿元，其中税收收入40.26亿元、36.15亿元、39.54亿元，税收占比维持在57.91%、60.03%、60.43%；一般公共预算支出246.68亿元、253.84亿元、261.71亿元，财政自给率28.18%、23.72%、25.00%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政府性基金收入方面，2023、2024、2025年分别为38.15亿元、20.24亿元、31.64亿元，政府性基金收入较2023年累计下降17%、土地财政贡献度弱化，反映地方综合财力对房地产周期的敞口。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图表：2023-2025年保山市财政收入情况(单位:亿元、%)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-46.95%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56.32%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资料来源:保山市财政决算、企业预警通,风控信评部整理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土地市场方面，【待补充:保山市土地出让与房地产销售数据（土地市场数据库未覆盖该市）】。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保山市地方政府债务余额分别为631.80亿元、766.70亿元、990.77亿元，2025年末债务限额1,003.20亿元，债务余额控制在限额以内；城投有息债务2025年末估算余额254.85亿元。债务率指标看，2025年末政府债务率260.33%、城投债务率66.96%、宽口径债务率327.29%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保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