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大理白族自治州信用评级报告(区域部分)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大理白族自治州经济总量列云南省第六位，人均GDP约6.27万元、人均经济实力居全省中游，经济增速由2.00%回升至4.10%、动能边际改善；固定资产投资连续负增长（最新-3.80%），经济动能仍有待修复。【待补充：大理白族自治州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大理白族自治州2023、2024、2025年地区生产总值分别为1,943.30亿元、2,004.70亿元、2,087.51亿元，同比增长2.00%、2.40%、4.10%。截至2025年末，全市常住人口332.10万人，人均GDP约6.27万元。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产业结构方面，2025年大理白族自治州三次产业结构为20.3:27.9:51.8。【待补充：支柱产业、主要龙头企业、对外贸易等定性描述（数据库未覆盖）】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2023、2024、2025年固定资产投资增速分别为-24.30%、-24.64%、-3.80%，2025年社会消费品零售总额755.38亿元，进出口总额3.32亿美元。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图表：2025年云南省各地级市主要经济指标对比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昆明市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8,637.45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4.1:28.7:67.2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874.40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曲靖市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14.3:34:51.7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红河哈尼族彝族自治州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3,154.52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13:35:52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9.66:41.36:48.98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昭通市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12.7:38.2:49.1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479.20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大理白族自治州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2,087.51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20.3:27.9:51.8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楚雄彝族自治州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2,040.17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18.1:38.6:43.3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文山壮族苗族自治州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1,632.64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16.7:36:47.3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保山市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1,347.01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22.3:32.3:45.4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237.40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普洱市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1,252.40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23.2:23.2:53.6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230.70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临沧市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1,127.75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30.7:20.6:48.7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217.10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西双版纳傣族自治州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21.1:23:55.9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丽江市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744.27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11.9:33.9:54.2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德宏傣族景颇族自治州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迪庆藏族自治州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怒江傈僳族自治州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288.98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大理白族自治州2025年GDP总量2,087.51亿元、列全省第六位，一般公共预算收入108.02亿元、列全省第六位。整体来看，大理白族自治州经济基本面在云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大理白族自治州财政体量在云南省处于中游，税收占比61.27%、税收质量较好，但政府性基金收入较2023年累计下降23%、土地财政贡献度弱化；2025年末宽口径债务率826.58%、处于偏高水平，已显著高于公认的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大理白族自治州一般公共预算收入分别为100.54亿元、104.65亿元、108.02亿元，其中税收收入59.36亿元、62.20亿元、66.19亿元，税收占比维持在59.04%、59.43%、61.27%；一般公共预算支出362.54亿元、390.07亿元、372.30亿元，财政自给率27.73%、26.83%、29.01%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政府性基金收入方面，2023、2024、2025年分别为20.73亿元、16.65亿元、15.94亿元，政府性基金收入较2023年累计下降23%、土地财政贡献度弱化，反映地方综合财力对房地产周期的敞口。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图表：2023-2025年大理白族自治州财政收入情况(单位:亿元、%)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104.65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59.04%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362.54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390.07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-4.56%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-19.68%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-4.26%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资料来源:大理白族自治州财政决算、企业预警通,风控信评部整理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土地市场方面，【待补充:大理白族自治州土地出让与房地产销售数据（土地市场数据库未覆盖该市）】。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大理白族自治州地方政府债务余额分别为714.70亿元、837.90亿元、945.76亿元，2025年末债务限额956.62亿元，债务余额控制在限额以内；城投有息债务2025年末估算余额84.53亿元。债务率指标看，2025年末政府债务率758.76%、城投债务率67.82%、宽口径债务率826.58%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大理白族自治州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