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怒江傈僳族自治州信用评级报告(区域部分)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怒江傈僳族自治州经济总量列云南省第16位，人均GDP约5.30万元、人均经济实力在省内相对靠后，经济增速由6.20%回落至3.30%、有所放缓；固定资产投资最新增速转负（-10.40%），经济动能仍有待修复。【待补充：怒江傈僳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怒江傈僳族自治州2023、2024、2025年地区生产总值分别为267.48亿元、278.29亿元、288.98亿元，同比增长6.20%、4.40%、3.30%。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产业结构方面，2025年怒江傈僳族自治州三次产业结构为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2023、2024、2025年固定资产投资增速分别为5.40%、2.60%、-10.40%，2025年社会消费品零售总额69.65亿元，进出口总额1.65亿美元。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怒江傈僳族自治州2025年GDP总量288.98亿元、列全省第16位，一般公共预算收入14.34亿元、列全省第16位。整体来看，怒江傈僳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怒江傈僳族自治州财政体量在云南省处于中游，税收占比69.73%、税收质量较好，但政府性基金收入总体平稳；2025年末宽口径债务率126.72%、处于可控水平，整体处于可控水平。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怒江傈僳族自治州一般公共预算收入分别为25.62亿元、13.87亿元、14.34亿元，其中税收收入9.36亿元、9.99亿元、10.00亿元，税收占比维持在36.53%、72.00%、69.73%；一般公共预算支出147.70亿元、129.18亿元、127.37亿元，财政自给率17.34%、10.74%、11.26%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政府性基金收入方面，2023、2024、2025年分别为4.96亿元、3.66亿元、4.82亿元，政府性基金收入总体平稳，反映地方综合财力对房地产周期的敞口。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图表：2023-2025年怒江傈僳族自治州财政收入情况(单位:亿元、%)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-45.86%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-26.21%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资料来源:怒江傈僳族自治州财政决算、企业预警通,风控信评部整理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土地市场方面，【待补充:怒江傈僳族自治州土地出让与房地产销售数据（土地市场数据库未覆盖该市）】。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怒江傈僳族自治州地方政府债务余额分别为151.10亿元、174.10亿元、200.09亿元，2025年末债务限额202.82亿元，债务余额控制在限额以内；城投有息债务2025年末估算余额—亿元。债务率指标看，2025年末政府债务率126.72%、城投债务率—、宽口径债务率126.72%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怒江傈僳族自治州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