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昆明市信用评级报告(区域部分)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昆明经济总量在云南省稳居第一，人均GDP约9.89万元、人均经济实力居全省前列，经济增速由3.40%回升至4.20%、动能边际改善；固定资产投资连续负增长（最新-9.90%），经济动能仍有待修复。【待补充：昆明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昆明市2023、2024、2025年地区生产总值分别为7,984.79亿元、8,257.64亿元、8,637.45亿元，同比增长3.40%、3.90%、4.20%。截至2025年末，全市常住人口874.40万人，人均GDP约9.89万元。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产业结构方面，2025年昆明市三次产业结构为4.1:28.7:67.2。【待补充：支柱产业、主要龙头企业、对外贸易等定性描述（数据库未覆盖）】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2023、2024、2025年固定资产投资增速分别为-24.90%、-12.02%、-9.90%，2025年社会消费品零售总额3,817.69亿元，进出口总额230.23亿美元。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昆明市2025年GDP总量8,637.45亿元、列全省第一位，一般公共预算收入575.00亿元、列全省第一位。整体来看，昆明市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昆明市财政体量在云南省稳居第一，税收占比82.72%、税收质量较好，但政府性基金收入较2023年累计增长160%；2025年末宽口径债务率373.22%、处于偏高水平，已显著高于公认的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昆明市一般公共预算收入分别为558.00亿元、547.22亿元、575.00亿元，其中税收收入442.72亿元、453.92亿元、475.66亿元，税收占比维持在79.34%、82.95%、82.72%；一般公共预算支出837.79亿元、842.85亿元、843.47亿元，财政自给率66.60%、64.93%、68.17%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政府性基金收入方面，2023、2024、2025年分别为157.94亿元、234.88亿元、410.28亿元，政府性基金收入较2023年累计增长160%，反映地方综合财力对房地产周期的敞口。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图表：2023-2025年昆明市财政收入情况(单位:亿元、%)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837.79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157.94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74.68%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资料来源:昆明市财政决算、企业预警通,风控信评部整理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土地市场方面，【待补充:昆明市土地出让与房地产销售数据（土地市场数据库未覆盖该市）】。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昆明市地方政府债务余额分别为2,566.20亿元、2,842.03亿元、3,132.10亿元，2025年末债务限额3,267.10亿元，债务余额控制在限额以内；城投有息债务2025年末估算余额3,805.99亿元。债务率指标看，2025年末政府债务率168.49%、城投债务率204.74%、宽口径债务率373.22%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昆明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