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昭通市信用评级报告(区域部分)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昭通经济总量列云南省第五位，人均GDP约4.38万元、人均经济实力在省内相对靠后，经济增速由7.70%回落至4.60%、有所放缓；固定资产投资最新增速3.70%，经济运行总体平稳。【待补充：昭通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昭通市2023、2024、2025年地区生产总值分别为1,926.53亿元、2,012.62亿元、2,103.40亿元，同比增长7.70%、4.50%、4.60%。截至2025年末，全市常住人口479.20万人，人均GDP约4.38万元。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产业结构方面，2025年昭通市三次产业结构为12.7:38.2:49.1。【待补充：支柱产业、主要龙头企业、对外贸易等定性描述（数据库未覆盖）】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2023、2024、2025年固定资产投资增速分别为1.50%、5.70%、3.70%，2025年社会消费品零售总额560.45亿元。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图表：2025年云南省各地级市主要经济指标对比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昆明市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8,637.45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4.1:28.7:67.2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874.40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曲靖市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14.3:34:51.7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红河哈尼族彝族自治州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3,154.52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13:35:52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9.66:41.36:48.98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昭通市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12.7:38.2:49.1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大理白族自治州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20.3:27.9:51.8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楚雄彝族自治州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2,040.17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18.1:38.6:43.3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文山壮族苗族自治州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1,632.64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16.7:36:47.3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22.3:32.3:45.4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237.40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普洱市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1,252.40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23.2:23.2:53.6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30.7:20.6:48.7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西双版纳傣族自治州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21.1:23:55.9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11.9:33.9:54.2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德宏傣族景颇族自治州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迪庆藏族自治州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怒江傈僳族自治州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昭通市2025年GDP总量2,103.40亿元、列全省第五位，一般公共预算收入120.19亿元、列全省第五位。整体来看，昭通市经济基本面在云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昭通市财政体量在云南省处于中游，税收占比65.11%、税收质量较好，但政府性基金收入总体平稳；2025年末宽口径债务率288.96%、处于中等偏高水平，处于相对偏高区间，需关注债务扩张节奏。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昭通市一般公共预算收入分别为105.92亿元、117.52亿元、120.19亿元，其中税收收入65.44亿元、67.41亿元、78.26亿元，税收占比维持在61.79%、57.36%、65.11%；一般公共预算支出575.45亿元、614.89亿元、600.00亿元，财政自给率18.41%、19.11%、20.03%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政府性基金收入方面，2023、2024、2025年分别为41.69亿元、42.59亿元、40.30亿元，政府性基金收入总体平稳，反映地方综合财力对房地产周期的敞口。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图表：2023-2025年昭通市财政收入情况(单位:亿元、%)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614.89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资料来源:昭通市财政决算、企业预警通,风控信评部整理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土地市场方面，【待补充:昭通市土地出让与房地产销售数据（土地市场数据库未覆盖该市）】。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昭通市地方政府债务余额分别为1,089.70亿元、1,258.20亿元、1,405.11亿元，2025年末债务限额1,421.75亿元，债务余额控制在限额以内；城投有息债务2025年末估算余额617.83亿元。债务率指标看，2025年末政府债务率200.71%、城投债务率88.25%、宽口径债务率288.96%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昭通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