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普洱市信用评级报告(区域部分)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普洱经济总量列云南省第十位，人均GDP约5.39万元、人均经济实力居全省中游，经济增速由3.60%回升至5.10%、动能边际改善；固定资产投资连续负增长（最新-12.60%），经济动能仍有待修复。【待补充：普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普洱市2023、2024、2025年地区生产总值分别为1,159.41亿元、1,186.39亿元、1,252.40亿元，同比增长3.60%、3.00%、5.10%。截至2025年末，全市常住人口230.70万人，人均GDP约5.39万元。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产业结构方面，2025年普洱市三次产业结构为23.2:23.2:53.6。【待补充：支柱产业、主要龙头企业、对外贸易等定性描述（数据库未覆盖）】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2023、2024、2025年固定资产投资增速分别为-14.30%、-9.34%、-12.60%，2025年社会消费品零售总额468.61亿元，进出口总额9.41亿美元。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普洱市2025年GDP总量1,252.40亿元、列全省第十位，一般公共预算收入62.57亿元、列全省第十位。整体来看，普洱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普洱市财政体量在云南省处于中游，税收占比57.63%、税收占比处于一般水平，但政府性基金收入较2023年累计下降21%、土地财政贡献度弱化；2025年末宽口径债务率265.07%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普洱市一般公共预算收入分别为72.45亿元、74.47亿元、62.57亿元，其中税收收入33.08亿元、31.99亿元、36.06亿元，税收占比维持在45.67%、42.96%、57.63%；一般公共预算支出326.71亿元、324.13亿元、306.28亿元，财政自给率22.17%、22.98%、20.43%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政府性基金收入方面，2023、2024、2025年分别为24.72亿元、22.69亿元、19.53亿元，政府性基金收入较2023年累计下降21%、土地财政贡献度弱化，反映地方综合财力对房地产周期的敞口。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图表：2023-2025年普洱市财政收入情况(单位:亿元、%)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-15.98%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326.71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-13.93%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资料来源:普洱市财政决算、企业预警通,风控信评部整理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土地市场方面，【待补充:普洱市土地出让与房地产销售数据（土地市场数据库未覆盖该市）】。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普洱市地方政府债务余额分别为511.50亿元、600.10亿元、707.36亿元，2025年末债务限额720.72亿元，债务余额控制在限额以内；城投有息债务2025年末估算余额212.71亿元。债务率指标看，2025年末政府债务率203.79%、城投债务率61.28%、宽口径债务率265.07%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普洱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