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曲靖市信用评级报告(区域部分)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曲靖经济总量列云南省第二位，人均GDP约6.74万元、人均经济实力居全省中游，经济增速由7.50%回落至3.50%、有所放缓；固定资产投资连续负增长（最新-9.50%），经济动能仍有待修复。【待补充：曲靖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曲靖市2023、2024、2025年地区生产总值分别为3,723.97亿元、3,666.40亿元、3,777.60亿元，同比增长7.50%、-1.00%、3.50%。截至2025年末，全市常住人口558.30万人，人均GDP约6.74万元。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产业结构方面，2025年曲靖市三次产业结构为14.3:34:51.7。【待补充：支柱产业、主要龙头企业、对外贸易等定性描述（数据库未覆盖）】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2023、2024、2025年固定资产投资增速分别为4.50%、-26.95%、-9.50%，2025年社会消费品零售总额1,357.32亿元，进出口总额6.08亿美元。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曲靖市2025年GDP总量3,777.60亿元、列全省第二位，一般公共预算收入164.21亿元、列全省第二位。整体来看，曲靖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曲靖市财政体量在云南省位居前列，税收占比71.52%、税收质量较好，但政府性基金收入较2023年累计下降28%、土地财政贡献度弱化；2025年末宽口径债务率205.80%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曲靖市一般公共预算收入分别为175.41亿元、166.83亿元、164.21亿元，其中税收收入123.23亿元、115.63亿元、117.44亿元，税收占比维持在70.25%、69.31%、71.52%；一般公共预算支出539.32亿元、545.83亿元、526.45亿元，财政自给率32.53%、30.56%、31.19%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政府性基金收入方面，2023、2024、2025年分别为52.68亿元、49.04亿元、37.78亿元，政府性基金收入较2023年累计下降28%、土地财政贡献度弱化，反映地方综合财力对房地产周期的敞口。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图表：2023-2025年曲靖市财政收入情况(单位:亿元、%)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539.32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526.45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-22.96%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资料来源:曲靖市财政决算、企业预警通,风控信评部整理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土地市场方面，【待补充:曲靖市土地出让与房地产销售数据（土地市场数据库未覆盖该市）】。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曲靖市地方政府债务余额分别为943.40亿元、1,055.10亿元、1,183.29亿元，2025年末债务限额1,195.00亿元，债务余额控制在限额以内；城投有息债务2025年末估算余额189.53亿元。债务率指标看，2025年末政府债务率177.39%、城投债务率28.41%、宽口径债务率205.80%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曲靖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