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玉溪市信用评级报告(区域部分)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玉溪经济总量列云南省第四位，人均GDP约11.89万元、人均经济实力居全省前列，经济增速由3.50%回升至4.40%、动能边际改善；固定资产投资最新增速2.00%，经济运行总体平稳。【待补充：玉溪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玉溪市2023、2024、2025年地区生产总值分别为2,504.00亿元、2,582.05亿元、2,688.30亿元，同比增长3.50%、3.80%、4.40%。截至2025年末，全市常住人口225.50万人，人均GDP约11.89万元。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产业结构方面，2025年玉溪市三次产业结构为9.66:41.36:48.98。【待补充：支柱产业、主要龙头企业、对外贸易等定性描述（数据库未覆盖）】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2023、2024、2025年固定资产投资增速分别为-18.30%、9.25%、2.00%，2025年社会消费品零售总额905.80亿元，进出口总额7.84亿美元。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图表：2025年云南省各地级市主要经济指标对比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昆明市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8,637.45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4.1:28.7:67.2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874.40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曲靖市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14.3:34:51.7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红河哈尼族彝族自治州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3,154.52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13:35:52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9.66:41.36:48.98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昭通市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12.7:38.2:49.1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479.20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大理白族自治州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2,087.51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20.3:27.9:51.8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楚雄彝族自治州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2,040.17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18.1:38.6:43.3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文山壮族苗族自治州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1,632.64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16.7:36:47.3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保山市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1,347.01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22.3:32.3:45.4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237.40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普洱市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1,252.40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23.2:23.2:53.6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230.70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临沧市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1,127.75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30.7:20.6:48.7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217.10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西双版纳傣族自治州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21.1:23:55.9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丽江市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744.27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11.9:33.9:54.2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德宏傣族景颇族自治州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迪庆藏族自治州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怒江傈僳族自治州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288.98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玉溪市2025年GDP总量2,688.30亿元、列全省第四位，一般公共预算收入148.21亿元、列全省第四位。整体来看，玉溪市经济基本面在云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玉溪市财政体量在云南省处于中游，税收占比69.20%、税收质量较好，但政府性基金收入较2023年累计下降30%、土地财政贡献度弱化；2025年末宽口径债务率293.23%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玉溪市一般公共预算收入分别为134.76亿元、157.81亿元、148.21亿元，其中税收收入100.25亿元、97.53亿元、102.56亿元，税收占比维持在74.39%、61.81%、69.20%；一般公共预算支出248.07亿元、279.74亿元、300.55亿元，财政自给率54.32%、56.41%、49.31%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政府性基金收入方面，2023、2024、2025年分别为38.73亿元、64.79亿元、27.05亿元，政府性基金收入较2023年累计下降30%、土地财政贡献度弱化，反映地方综合财力对房地产周期的敞口。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图表：2023-2025年玉溪市财政收入情况(单位:亿元、%)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134.76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157.81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-6.08%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102.56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61.81%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279.74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300.55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-58.25%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资料来源:玉溪市财政决算、企业预警通,风控信评部整理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土地市场方面，【待补充:玉溪市土地出让与房地产销售数据（土地市场数据库未覆盖该市）】。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玉溪市地方政府债务余额分别为747.00亿元、876.40亿元、1,003.15亿元，2025年末债务限额1,032.16亿元，债务余额控制在限额以内；城投有息债务2025年末估算余额219.56亿元。债务率指标看，2025年末政府债务率240.57%、城投债务率52.65%、宽口径债务率293.23%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玉溪市财政基本盘总体稳健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