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迪庆藏族自治州信用评级报告(区域部分)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迪庆藏族自治州经济总量列云南省第15位，人均GDP约—万元、人均经济实力居省内中游，经济增速由0.60%回升至3.00%、动能边际改善；固定资产投资连续负增长（最新5.70%），经济运行总体平稳。【待补充：迪庆藏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迪庆藏族自治州2023、2024、2025年地区生产总值分别为303.74亿元、307.01亿元、316.65亿元，同比增长0.60%、0.40%、3.00%。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产业结构方面，2025年迪庆藏族自治州三次产业结构为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2023、2024、2025年固定资产投资增速分别为-27.70%、-13.59%、5.70%，2025年社会消费品零售总额91.99亿元，进出口总额0.10亿美元。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迪庆藏族自治州2025年GDP总量316.65亿元、列全省第15位，一般公共预算收入18.49亿元、列全省第15位。整体来看，迪庆藏族自治州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迪庆藏族自治州财政体量在云南省处于中游，税收占比72.92%、税收质量较好，但政府性基金收入较2023年累计下降27%、土地财政贡献度弱化；2025年末宽口径债务率135.20%、处于可控水平，整体处于可控水平。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迪庆藏族自治州一般公共预算收入分别为17.94亿元、19.15亿元、18.49亿元，其中税收收入10.90亿元、11.05亿元、13.48亿元，税收占比维持在60.78%、57.72%、72.92%；一般公共预算支出144.66亿元、145.35亿元、142.43亿元，财政自给率12.40%、13.17%、12.98%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政府性基金收入方面，2023、2024、2025年分别为3.23亿元、2.26亿元、2.37亿元，政府性基金收入较2023年累计下降27%、土地财政贡献度弱化，反映地方综合财力对房地产周期的敞口。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图表：2023-2025年迪庆藏族自治州财政收入情况(单位:亿元、%)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-3.45%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142.43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-30.03%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资料来源:迪庆藏族自治州财政决算、企业预警通,风控信评部整理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土地市场方面，【待补充:迪庆藏族自治州土地出让与房地产销售数据（土地市场数据库未覆盖该市）】。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迪庆藏族自治州地方政府债务余额分别为171.20亿元、195.30亿元、227.33亿元，2025年末债务限额231.71亿元，债务余额控制在限额以内；城投有息债务2025年末估算余额—亿元。债务率指标看，2025年末政府债务率135.20%、城投债务率—、宽口径债务率135.20%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迪庆藏族自治州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