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乌海市信用评级报告(区域部分)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海经济总量列内蒙古自治区第11位，人均GDP约9.74万元、人均经济实力居全省中游，经济增速由-1.90%回落至-4.30%、有所放缓；固定资产投资最新增速0.60%，经济运行总体平稳。【待补充：乌海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乌海市2023、2024、2025年地区生产总值分别为577.86亿元、598.07亿元、540.75亿元，同比增长-1.90%、4.10%、-4.30%。截至2025年末，全市常住人口54.90万人，人均GDP约9.74万元。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产业结构方面，2025年乌海市三次产业结构为1.6:45.7:52.7。【待补充：支柱产业、主要龙头企业、对外贸易等定性描述（数据库未覆盖）】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2023、2024、2025年固定资产投资增速分别为18.30%、-35.80%、0.60%，2025年社会消费品零售总额118.77亿元，进出口总额2.78亿美元。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乌海市2025年GDP总量540.75亿元、列全省第11位，一般公共预算收入86.06亿元、列全省第九位。整体来看，乌海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乌海市财政体量在内蒙古自治区处于中游，税收占比58.98%、税收占比处于一般水平，但政府性基金收入较2023年累计下降65%、土地财政贡献度弱化；2025年末宽口径债务率442.14%、处于偏高水平，已显著高于公认的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乌海市一般公共预算收入分别为85.70亿元、85.89亿元、86.06亿元，其中税收收入63.73亿元、57.77亿元、50.76亿元，税收占比维持在74.37%、67.26%、58.98%；一般公共预算支出172.02亿元、159.33亿元、132.40亿元，财政自给率49.82%、53.90%、65.00%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政府性基金收入方面，2023、2024、2025年分别为16.03亿元、13.50亿元、5.61亿元，政府性基金收入较2023年累计下降65%、土地财政贡献度弱化，反映地方综合财力对房地产周期的敞口。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图表：2023-2025年乌海市财政收入情况(单位:亿元、%)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-58.44%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资料来源:乌海市财政决算、企业预警通,风控信评部整理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土地市场方面，【待补充:乌海市土地出让与房地产销售数据（土地市场数据库未覆盖该市）】。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乌海市地方政府债务余额分别为289.13亿元、320.63亿元、353.91亿元，2025年末债务限额378.00亿元，债务余额控制在限额以内；城投有息债务2025年末估算余额52.50亿元。债务率指标看，2025年末政府债务率385.03%、城投债务率57.11%、宽口径债务率442.14%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乌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