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兴安盟信用评级报告(区域部分)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兴安盟经济总量列内蒙古自治区第十位，人均GDP约6.23万元、人均经济实力在省内相对靠后，经济增速由5.60%回落至4.50%、有所放缓；固定资产投资最新增速2.50%，经济运行总体平稳。【待补充：兴安盟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兴安盟2023、2024、2025年地区生产总值分别为770.20亿元、807.70亿元、850.09亿元，同比增长5.60%、4.40%、4.50%。截至2025年末，全市常住人口135.50万人，人均GDP约6.23万元。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产业结构方面，2025年兴安盟三次产业结构为34.9:23.2:41.9。【待补充：支柱产业、主要龙头企业、对外贸易等定性描述（数据库未覆盖）】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2023、2024、2025年固定资产投资增速分别为17.90%、3.10%、2.50%，2025年社会消费品零售总额185.47亿元，进出口总额0.37亿美元。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兴安盟2025年GDP总量850.09亿元、列全省第十位，一般公共预算收入41.40亿元、列全省第11位。整体来看，兴安盟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兴安盟财政体量在内蒙古自治区处于中游，税收占比67.68%、税收质量较好，但政府性基金收入较2023年累计下降16%、土地财政贡献度弱化；2025年末宽口径债务率1108.81%、处于偏高水平，已显著高于公认的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兴安盟一般公共预算收入分别为41.42亿元、44.85亿元、41.40亿元，其中税收收入28.68亿元、23.69亿元、28.02亿元，税收占比维持在69.23%、52.82%、67.68%；一般公共预算支出351.98亿元、374.35亿元、322.30亿元，财政自给率11.77%、11.98%、12.85%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政府性基金收入方面，2023、2024、2025年分别为9.80亿元、10.91亿元、8.20亿元，政府性基金收入较2023年累计下降16%、土地财政贡献度弱化，反映地方综合财力对房地产周期的敞口。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图表：2023-2025年兴安盟财政收入情况(单位:亿元、%)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-24.84%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资料来源:兴安盟财政决算、企业预警通,风控信评部整理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土地市场方面，【待补充:兴安盟土地出让与房地产销售数据（土地市场数据库未覆盖该市）】。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兴安盟地方政府债务余额分别为433.49亿元、469.75亿元、513.90亿元，2025年末债务限额535.00亿元，债务余额控制在限额以内；城投有息债务2025年末估算余额36.58亿元。债务率指标看，2025年末政府债务率1035.13%、城投债务率73.68%、宽口径债务率1108.81%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兴安盟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