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包头市信用评级报告(区域部分)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包头经济总量列内蒙古自治区第二位，人均GDP约17.01万元、人均经济实力居全省前列，经济增速由10.20%回落至5.40%、有所放缓；固定资产投资最新增速6.20%，经济运行总体平稳。【待补充：包头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包头市2023、2024、2025年地区生产总值分别为4,270.10亿元、4,575.20亿元、4,711.90亿元，同比增长10.20%、7.90%、5.40%。截至2025年末，全市常住人口277.40万人，人均GDP约17.01万元。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产业结构方面，2025年包头市三次产业结构为3.2:46:50.8。【待补充：支柱产业、主要龙头企业、对外贸易等定性描述（数据库未覆盖）】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2023、2024、2025年固定资产投资增速分别为24.30%、18.60%、6.20%，2025年社会消费品零售总额939.50亿元，进出口总额35.07亿美元。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图表：2025年内蒙古自治区各地级市主要经济指标对比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鄂尔多斯市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3.7:68.1:28.2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包头市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4,711.90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3.2:46:50.8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呼和浩特市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4,278.30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4.2:30.1:65.6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赤峰市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21.1:25.5:53.4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呼伦贝尔市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24.2:29.3:46.5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26.1:29:44.9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锡林郭勒盟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15.2:47.4:37.4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巴彦淖尔市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27.3:27.6:45.1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乌兰察布市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兴安盟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34.9:23.2:41.9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540.75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1.6:45.7:52.7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阿拉善盟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418.80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9:46.3:44.7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包头市2025年GDP总量4,711.90亿元、列全省第二位，一般公共预算收入183.71亿元、列全省第三位。整体来看，包头市经济基本面在内蒙古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包头市财政体量在内蒙古自治区位居前列，税收占比72.51%、税收质量较好，但政府性基金收入较2023年累计下降51%、土地财政贡献度弱化；2025年末宽口径债务率835.03%、处于偏高水平，已显著高于公认的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包头市一般公共预算收入分别为200.55亿元、208.57亿元、183.71亿元，其中税收收入163.87亿元、146.01亿元、133.20亿元，税收占比维持在81.71%、70.01%、72.51%；一般公共预算支出475.00亿元、465.27亿元、431.79亿元，财政自给率42.22%、44.83%、42.55%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政府性基金收入方面，2023、2024、2025年分别为55.39亿元、45.44亿元、27.05亿元，政府性基金收入较2023年累计下降51%、土地财政贡献度弱化，反映地方综合财力对房地产周期的敞口。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图表：2023-2025年包头市财政收入情况(单位:亿元、%)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-11.92%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163.87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-8.77%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465.27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431.79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-7.20%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-40.47%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资料来源:包头市财政决算、企业预警通,风控信评部整理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土地市场方面，【待补充:包头市土地出让与房地产销售数据（土地市场数据库未覆盖该市）】。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包头市地方政府债务余额分别为1,280.45亿元、1,374.56亿元、1,500.37亿元，2025年末债务限额1,582.00亿元，债务余额控制在限额以内；城投有息债务2025年末估算余额277.24亿元。债务率指标看，2025年末政府债务率704.80%、城投债务率130.23%、宽口径债务率835.03%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包头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