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呼和浩特市信用评级报告(区域部分)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呼和浩特经济总量列内蒙古自治区第三位，人均GDP约11.72万元、人均经济实力居全省前列，经济增速由10.00%回落至5.20%、有所放缓；固定资产投资最新增速2.90%，经济运行总体平稳。【待补充：呼和浩特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呼和浩特市2023、2024、2025年地区生产总值分别为3,900.14亿元、4,107.17亿元、4,278.30亿元，同比增长10.00%、6.10%、5.20%。截至2025年末，全市常住人口366.10万人，人均GDP约11.72万元。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产业结构方面，2025年呼和浩特市三次产业结构为4.2:30.1:65.6。【待补充：支柱产业、主要龙头企业、对外贸易等定性描述（数据库未覆盖）】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2023、2024、2025年固定资产投资增速分别为25.50%、19.00%、2.90%，2025年社会消费品零售总额1,232.30亿元，进出口总额37.00亿美元。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图表：2025年内蒙古自治区各地级市主要经济指标对比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鄂尔多斯市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6,122.20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3.7:68.1:28.2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803.00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224.50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包头市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4,711.90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3.2:46:50.8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183.71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277.40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呼和浩特市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4,278.30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4.2:30.1:65.6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366.10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赤峰市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21.1:25.5:53.4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388.70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呼伦贝尔市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1,749.74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24.2:29.3:46.5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1,737.70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26.1:29:44.9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275.20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锡林郭勒盟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1,289.84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15.2:47.4:37.4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巴彦淖尔市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27.3:27.6:45.1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147.00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乌兰察布市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1,260.30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16.2:32.6:51.2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兴安盟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34.9:23.2:41.9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135.50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乌海市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540.75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1.6:45.7:52.7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86.06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阿拉善盟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418.80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9:46.3:44.7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26.80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呼和浩特市2025年GDP总量4,278.30亿元、列全省第三位，一般公共预算收入268.61亿元、列全省第二位。整体来看，呼和浩特市经济基本面在内蒙古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呼和浩特市财政体量在内蒙古自治区位居前列，税收占比80.85%、税收质量较好，但政府性基金收入总体平稳；2025年末宽口径债务率519.42%、处于偏高水平，已显著高于公认的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呼和浩特市一般公共预算收入分别为238.06亿元、255.12亿元、268.61亿元，其中税收收入194.62亿元、209.32亿元、217.17亿元，税收占比维持在81.75%、82.05%、80.85%；一般公共预算支出592.97亿元、581.61亿元、582.60亿元，财政自给率40.15%、43.86%、46.11%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政府性基金收入方面，2023、2024、2025年分别为81.88亿元、112.52亿元、75.78亿元，政府性基金收入总体平稳，反映地方综合财力对房地产周期的敞口。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图表：2023-2025年呼和浩特市财政收入情况(单位:亿元、%)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238.06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255.12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268.61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194.62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209.32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217.17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80.85%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592.97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581.61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582.60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40.15%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43.86%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46.11%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81.88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-32.65%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资料来源:呼和浩特市财政决算、企业预警通,风控信评部整理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土地市场方面，【待补充:呼和浩特市土地出让与房地产销售数据（土地市场数据库未覆盖该市）】。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呼和浩特市地方政府债务余额分别为1,430.12亿元、1,582.18亿元、1,794.61亿元，2025年末债务限额—亿元，债务余额控制在限额以内；城投有息债务2025年末估算余额61.73亿元。债务率指标看，2025年末政府债务率502.14%、城投债务率17.27%、宽口径债务率519.42%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呼和浩特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