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赤峰市信用评级报告(区域部分)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赤峰经济总量列内蒙古自治区第四位，人均GDP约6.16万元、人均经济实力在省内相对靠后，经济增速维持在4.90%左右、总体平稳；固定资产投资最新增速7.00%，经济运行总体平稳。【待补充：赤峰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赤峰市2023、2024、2025年地区生产总值分别为2,221.22亿元、2,328.30亿元、2,407.10亿元，同比增长4.90%、4.50%、4.90%。截至2025年末，全市常住人口388.70万人，人均GDP约6.16万元。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产业结构方面，2025年赤峰市三次产业结构为21.1:25.5:53.4。【待补充：支柱产业、主要龙头企业、对外贸易等定性描述（数据库未覆盖）】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2023、2024、2025年固定资产投资增速分别为9.03%、12.80%、7.00%，2025年社会消费品零售总额668.40亿元，进出口总额47.81亿美元。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赤峰市2025年GDP总量2,407.10亿元、列全省第四位，一般公共预算收入126.25亿元、列全省第五位。整体来看，赤峰市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赤峰市财政体量在内蒙古自治区处于中游，税收占比61.87%、税收质量较好，但政府性基金收入总体平稳；2025年末宽口径债务率760.34%、处于偏高水平，已显著高于公认的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赤峰市一般公共预算收入分别为121.33亿元、135.39亿元、126.25亿元，其中税收收入80.34亿元、73.08亿元、78.11亿元，税收占比维持在66.22%、53.98%、61.87%；一般公共预算支出678.26亿元、688.06亿元、687.27亿元，财政自给率17.89%、19.68%、18.37%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政府性基金收入方面，2023、2024、2025年分别为51.27亿元、43.09亿元、46.69亿元，政府性基金收入总体平稳，反映地方综合财力对房地产周期的敞口。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图表：2023-2025年赤峰市财政收入情况(单位:亿元、%)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688.06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资料来源:赤峰市财政决算、企业预警通,风控信评部整理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土地市场方面，【待补充:赤峰市土地出让与房地产销售数据（土地市场数据库未覆盖该市）】。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赤峰市地方政府债务余额分别为756.93亿元、881.02亿元、1,075.80亿元，2025年末债务限额1,183.00亿元，债务余额控制在限额以内；城投有息债务2025年末估算余额267.99亿元。债务率指标看，2025年末政府债务率608.71%、城投债务率151.63%、宽口径债务率760.34%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赤峰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