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通辽市信用评级报告(区域部分)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通辽经济总量列内蒙古自治区第六位，人均GDP约6.28万元、人均经济实力在省内相对靠后，经济增速维持在4.90%左右、总体平稳；固定资产投资最新增速11.40%，经济运行总体平稳。【待补充：通辽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通辽市2023、2024、2025年地区生产总值分别为1,616.60亿元、1,689.60亿元、1,737.70亿元，同比增长5.20%、4.10%、4.90%。截至2025年末，全市常住人口275.20万人，人均GDP约6.28万元。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产业结构方面，2025年通辽市三次产业结构为26.1:29:44.9。【待补充：支柱产业、主要龙头企业、对外贸易等定性描述（数据库未覆盖）】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2023、2024、2025年固定资产投资增速分别为24.30%、20.80%、11.40%，2025年社会消费品零售总额375.90亿元，进出口总额7.07亿美元。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通辽市2025年GDP总量1,737.70亿元、列全省第六位，一般公共预算收入125.75亿元、列全省第六位。整体来看，通辽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通辽市财政体量在内蒙古自治区处于中游，税收占比63.09%、税收质量较好，但政府性基金收入较2023年累计下降17%、土地财政贡献度弱化；2025年末宽口径债务率685.05%、处于偏高水平，已显著高于公认的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通辽市一般公共预算收入分别为100.26亿元、108.89亿元、125.75亿元，其中税收收入67.66亿元、72.20亿元、79.34亿元，税收占比维持在67.48%、66.30%、63.09%；一般公共预算支出511.30亿元、532.85亿元、509.92亿元，财政自给率19.61%、20.44%、24.66%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政府性基金收入方面，2023、2024、2025年分别为29.56亿元、24.01亿元、24.47亿元，政府性基金收入较2023年累计下降17%、土地财政贡献度弱化，反映地方综合财力对房地产周期的敞口。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图表：2023-2025年通辽市财政收入情况(单位:亿元、%)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资料来源:通辽市财政决算、企业预警通,风控信评部整理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土地市场方面，【待补充:通辽市土地出让与房地产销售数据（土地市场数据库未覆盖该市）】。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通辽市地方政府债务余额分别为733.99亿元、799.98亿元、889.60亿元，2025年末债务限额954.86亿元，债务余额控制在限额以内；城投有息债务2025年末估算余额154.54亿元。债务率指标看，2025年末政府债务率583.65%、城投债务率101.39%、宽口径债务率685.05%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通辽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