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四平市信用评级报告(区域部分)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四平经济总量列吉林省第六位，人均GDP约—万元、人均经济实力居省内中游，经济增速由5.90%回落至4.60%、有所放缓；固定资产投资最新增速0.90%，经济运行总体平稳。【待补充：四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四平市2023、2024、2025年地区生产总值分别为588.86亿元、580.60亿元、601.57亿元，同比增长5.90%、3.70%、4.60%。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产业结构方面，2025年四平市三次产业结构为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2023、2024、2025年固定资产投资增速分别为4.90%、-6.00%、0.90%，2025年社会消费品零售总额158.20亿元，进出口总额3.21亿美元。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省内对比看，四平市2025年GDP总量601.57亿元、列全省第六位。整体来看，四平市经济基本面在吉林省内具有一定代表性，但需关注固定资产投资走势及新旧动能转换的接续性。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四平市财政体量在吉林省处于中游，税收占比—、税收占比处于一般水平；2025年末宽口径债务率—、处于水平待评估水平，。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四平市一般公共预算收入分别为40.32亿元、48.45亿元、—亿元，其中税收收入18.62亿元、16.75亿元、—亿元，税收占比维持在46.19%、34.57%、—；一般公共预算支出240.79亿元、251.27亿元、—亿元，财政自给率16.74%、19.28%、—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图表：2023-2025年四平市财政收入情况(单位:亿元、%)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资料来源:四平市财政决算、企业预警通,风控信评部整理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土地市场方面，【待补充:四平市土地出让与房地产销售数据（土地市场数据库未覆盖该市）】。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四平市地方政府债务余额分别为164.28亿元、180.93亿元、230.90亿元，2025年末债务限额232.10亿元，债务余额控制在限额以内；城投有息债务2025年末估算余额119.92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四平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