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吉林市信用评级报告(区域部分)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吉林作为吉林省下辖地级市，经济总量列吉林省第二位，人均GDP约4.90万元、人均经济实力居全省中游，经济增速由6.90%回落至6.30%、有所放缓；固定资产投资最新增速转负（-10.50%），经济动能仍有待修复。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吉林市2023、2024、2025年地区生产总值分别为1,602.10亿元、1,625.20亿元、1,702.30亿元，同比增长6.90%、4.90%、6.30%。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产业结构方面，2025年吉林市三次产业结构为12.4:37.4:50.2，第三产业占主导、服务业是经济主体。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2023、2024、2025年固定资产投资增速分别为15.20%、5.50%、-10.50%，2025年社会消费品零售总额537.70亿元，进出口总额11.28亿美元。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吉林市2025年GDP总量1,702.30亿元、列全省第二位，一般公共预算收入167.20亿元、列全省第二位。整体来看，吉林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吉林市财政体量在吉林省位居前列，税收占比34.51%、税收占比处于一般水平；2025年末宽口径债务率1349.18%、处于偏高水平，已显著高于公认的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吉林市一般公共预算收入分别为85.29亿元、103.28亿元、167.20亿元，其中税收收入56.98亿元、54.03亿元、57.70亿元，税收占比维持在66.80%、52.31%、34.51%；一般公共预算支出411.11亿元、459.10亿元、614.80亿元，财政自给率20.75%、22.50%、27.20%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图表：2023-2025年吉林市财政收入情况(单位:亿元、%)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33.91%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资料来源:吉林市财政决算、企业预警通,风控信评部整理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土地市场方面，【待补充:吉林市土地出让与房地产销售数据（土地市场数据库未覆盖该市）】。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吉林市地方政府债务余额分别为978.14亿元、1,132.57亿元、1,232.10亿元，2025年末债务限额1,235.60亿元，债务余额控制在限额以内；城投有息债务2025年末估算余额1,023.74亿元。债务率指标看，2025年末政府债务率736.90%、城投债务率612.28%、宽口径债务率1349.18%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吉林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