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延边朝鲜族自治州信用评级报告(区域部分)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延边朝鲜族自治州作为吉林省下辖的民族自治地区，经济总量列吉林省第三位，人均经济实力居省内中游，经济增速由6.30%回落至5.80%、有所放缓；固定资产投资最新增速7.00%，经济运行总体平稳。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延边朝鲜族自治州2023、2024、2025年地区生产总值分别为912.31亿元、1,013.11亿元、1,064.08亿元，同比增长6.30%、4.30%、5.80%。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产业结构方面，2025年延边朝鲜族自治州三次产业结构为8:32.8:59.2，第三产业占主导、服务业是经济主体。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2023、2024、2025年固定资产投资增速分别为8.40%、7.40%、7.00%，2025年社会消费品零售总额334.80亿元，进出口总额52.09亿美元。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延边朝鲜族自治州2025年GDP总量1,064.08亿元、列全省第三位，一般公共预算收入94.80亿元、列全省第三位。整体来看，延边朝鲜族自治州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延边朝鲜族自治州财政体量在吉林省位居前列，税收占比37.65%、税收占比处于一般水平，但政府性基金收入较2023年累计下降20%、土地财政贡献度弱化；2025年末宽口径债务率159.96%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延边朝鲜族自治州一般公共预算收入分别为73.68亿元、77.70亿元、94.80亿元，其中税收收入36.94亿元、37.69亿元、35.69亿元，税收占比维持在50.13%、48.50%、37.65%；一般公共预算支出333.11亿元、375.39亿元、402.56亿元，财政自给率22.12%、20.70%、23.55%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政府性基金收入方面，2023、2024、2025年分别为19.97亿元、20.36亿元、15.95亿元，政府性基金收入较2023年累计下降20%、土地财政贡献度弱化，反映地方综合财力对房地产周期的敞口。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图表：2023-2025年延边朝鲜族自治州财政收入情况(单位:亿元、%)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-21.66%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资料来源:延边朝鲜族自治州财政决算、企业预警通,风控信评部整理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土地市场方面，【待补充:延边朝鲜族自治州土地出让与房地产销售数据（土地市场数据库未覆盖该市）】。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延边朝鲜族自治州地方政府债务余额分别为749.38亿元、850.40亿元、932.40亿元，2025年末债务限额937.90亿元，债务余额控制在限额以内；城投有息债务2025年末估算余额10.76亿元。债务率指标看，2025年末政府债务率158.14%、城投债务率1.83%、宽口径债务率159.96%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延边朝鲜族自治州财政基本盘较为扎实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