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松原市信用评级报告(区域部分)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松原作为吉林省下辖地级市，经济总量列吉林省第四位，人均经济实力居省内中游，经济增速由5.90%回落至4.20%、有所放缓；固定资产投资连续负增长（最新-29.00%），经济动能仍有待修复。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松原市2023、2024、2025年地区生产总值分别为892.72亿元、1,002.18亿元、1,030.60亿元，同比增长5.90%、3.80%、4.20%。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产业结构方面，松原作为吉林省下辖地级市，区域产业结构以本地优势产业为主。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2023、2024、2025年固定资产投资增速分别为3.10%、-5.10%、-29.00%，2025年社会消费品零售总额242.50亿元，进出口总额1.84亿美元。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图表：2025年吉林省各地级市主要经济指标对比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8,005.59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6.6:34.6:58.8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12.4:37.4:50.2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延边朝鲜族自治州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1,064.08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8:32.8:59.2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松原市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四平市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547.09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省内对比看，松原市2025年GDP总量1,030.60亿元、列全省第四位。整体来看，松原市经济基本面在吉林省内具有一定代表性，但需关注固定资产投资走势及新旧动能转换的接续性。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松原市财政体量在吉林省处于中游，税收占比—、税收占比处于一般水平；2025年末宽口径债务率—、处于水平待评估水平，。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松原市一般公共预算收入分别为46.10亿元、69.64亿元、—亿元，其中税收收入27.59亿元、25.74亿元、—亿元，税收占比维持在59.85%、36.97%、—；一般公共预算支出310.90亿元、361.27亿元、—亿元，财政自给率14.83%、19.28%、—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政府性基金收入方面，2023年分别为13.10亿元。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图表：2023-2025年松原市财政收入情况(单位:亿元、%)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资料来源:松原市财政决算、企业预警通,风控信评部整理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土地市场方面，【待补充:松原市土地出让与房地产销售数据（土地市场数据库未覆盖该市）】。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松原市地方政府债务余额分别为261.84亿元、309.88亿元、334.00亿元，2025年末债务限额336.30亿元，债务余额控制在限额以内；城投有息债务2025年末估算余额78.35亿元。债务率指标看，2025年末政府债务率—、城投债务率—、宽口径债务率—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松原市财政基本盘总体稳健，但土地财政收缩与债务规模扩张是当前主要压力线；我们预计宽口径债务率短期内将维持水平待评估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