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白城市信用评级报告(区域部分)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白城作为吉林省下辖地级市，经济总量列吉林省第五位，人均经济实力居省内中游，经济增速由6.00%回落至4.40%、有所放缓；固定资产投资最新增速10.00%，经济运行总体平稳。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白城市2023、2024、2025年地区生产总值分别为601.69亿元、611.83亿元、626.52亿元，同比增长6.00%、4.80%、4.40%。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产业结构方面，白城作为吉林省下辖地级市，区域产业结构以本地优势产业为主。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2023、2024、2025年固定资产投资增速分别为3.10%、9.80%、10.00%，2025年社会消费品零售总额119.10亿元，进出口总额4.40亿美元。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图表：2025年吉林省各地级市主要经济指标对比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长春市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8,005.59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6.6:34.6:58.8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424.17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910.50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吉林市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1,702.30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12.4:37.4:50.2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延边朝鲜族自治州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1,064.08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8:32.8:59.2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94.80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松原市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1,030.60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白城市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626.52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四平市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601.57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通化市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592.14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66.92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白山市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590.17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辽源市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547.09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白城市2025年GDP总量626.52亿元、列全省第五位，一般公共预算收入44.36亿元、列全省第五位。整体来看，白城市经济基本面在吉林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白城市财政体量在吉林省处于中游，税收占比—、税收占比处于一般水平；2025年末宽口径债务率470.85%、处于偏高水平，已显著高于公认的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白城市一般公共预算收入分别为28.57亿元、32.33亿元、44.36亿元，其中税收收入15.67亿元、15.62亿元、—亿元，税收占比维持在54.86%、48.32%、—；一般公共预算支出289.35亿元、319.13亿元、295.89亿元，财政自给率9.87%、10.13%、14.99%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政府性基金收入方面，2024年分别为9.06亿元。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图表：2023-2025年白城市财政收入情况(单位:亿元、%)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13.16%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37.21%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-0.32%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54.86%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48.32%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289.35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319.13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10.29%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295.89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-7.28%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10.13%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14.99%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资料来源:白城市财政决算、企业预警通,风控信评部整理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土地市场方面，【待补充:白城市土地出让与房地产销售数据（土地市场数据库未覆盖该市）】。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白城市地方政府债务余额分别为151.30亿元、158.44亿元、166.30亿元，2025年末债务限额168.50亿元，债务余额控制在限额以内；城投有息债务2025年末估算余额42.57亿元。债务率指标看，2025年末政府债务率374.89%、城投债务率95.96%、宽口径债务率470.85%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白城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