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辽源市信用评级报告(区域部分)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辽源作为吉林省下辖地级市，经济总量列吉林省第九位，人均经济实力居省内中游，经济增速维持在5.70%左右、总体平稳；固定资产投资最新增速转负（-9.10%），经济动能仍有待修复。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辽源市2023、2024、2025年地区生产总值分别为516.88亿元、527.69亿元、547.09亿元，同比增长5.70%、4.50%、5.70%。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产业结构方面，辽源作为吉林省下辖地级市，区域产业结构以本地优势产业为主。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2023、2024、2025年固定资产投资增速分别为8.10%、3.00%、-9.10%，2025年社会消费品零售总额111.70亿元，进出口总额3.07亿美元。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辽源市2025年GDP总量547.09亿元、列全省第九位，一般公共预算收入31.77亿元、列全省第七位。整体来看，辽源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辽源市财政体量在吉林省处于中游，税收占比—、税收占比处于一般水平，但政府性基金收入较2023年累计下降51%、土地财政贡献度弱化；2025年末宽口径债务率774.63%、处于偏高水平，已显著高于公认的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辽源市一般公共预算收入分别为19.42亿元、38.69亿元、31.77亿元，其中税收收入10.04亿元、9.95亿元、—亿元，税收占比维持在51.70%、25.71%、—；一般公共预算支出135.19亿元、183.67亿元、174.27亿元，财政自给率14.36%、21.06%、18.23%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政府性基金收入方面，2023、2024、2025年分别为15.89亿元、15.63亿元、7.78亿元，政府性基金收入较2023年累计下降51%、土地财政贡献度弱化，反映地方综合财力对房地产周期的敞口。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图表：2023-2025年辽源市财政收入情况(单位:亿元、%)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99.23%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-17.89%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-5.12%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-50.22%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资料来源:辽源市财政决算、企业预警通,风控信评部整理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土地市场方面，【待补充:辽源市土地出让与房地产销售数据（土地市场数据库未覆盖该市）】。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辽源市地方政府债务余额分别为223.54亿元、254.78亿元、280.90亿元，2025年末债务限额282.60亿元，债务余额控制在限额以内；城投有息债务2025年末估算余额48.52亿元。债务率指标看，2025年末政府债务率660.53%、城投债务率114.10%、宽口径债务率774.63%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辽源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