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乐山市信用评级报告(区域部分)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乐山作为四川省下辖地级市，经济总量列四川省第九位，人均经济实力居省内中游，经济增速由6.50%回落至3.10%、有所放缓；固定资产投资最新增速5.30%，经济运行总体平稳。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乐山市2023、2024、2025年地区生产总值分别为2,448.10亿元、2,427.64亿元、2,501.54亿元，同比增长6.50%、4.30%、3.10%。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产业结构方面，2025年乐山市三次产业结构为10.7:38.7:50.6，第三产业占主导、服务业是经济主体。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2023、2024、2025年固定资产投资增速分别为18.00%、3.40%、5.30%，2025年社会消费品零售总额1,004.10亿元，进出口总额10.82亿美元。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图表：2025年四川省各地级市主要经济指标对比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成都市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24,763.60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2.2:27.9:69.9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2153.50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4,600.66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7.8:40:52.2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8.7:48.2:43.1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8.2:49.5:42.3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8.9:46.6:44.5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达州市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14.3:28.1:57.6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南充市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凉山彝族自治州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20.6:32.3:47.1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10.7:38.7:50.6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内江市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13.4:34.4:52.2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眉山市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11.8:39.6:48.6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自贡市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11.9:28.2:59.9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遂宁市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10.6:42.9:46.5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13.7:28.2:58.1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攀枝花市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7.3:54.8:37.9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16.3:32.3:51.4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1,150.81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18.8:28.3:52.9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雅安市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14.2:31.1:54.7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21.6:19.1:59.3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甘孜藏族自治州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15.06:30.27:54.67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阿坝藏族羌族自治州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19.4:23.6:57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乐山市2025年GDP总量2,501.54亿元、列全省第九位，一般公共预算收入172.16亿元、列全省第八位。整体来看，乐山市经济基本面在四川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乐山市财政体量在四川省处于中游，税收占比46.35%、税收占比处于一般水平，但政府性基金收入较2023年累计增长25%；2025年末宽口径债务率298.61%、处于中等偏高水平，处于相对偏高区间，需关注债务扩张节奏。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乐山市一般公共预算收入分别为159.60亿元、163.06亿元、172.16亿元，其中税收收入86.47亿元、74.73亿元、79.81亿元，税收占比维持在54.18%、45.83%、46.35%；一般公共预算支出360.52亿元、378.00亿元、411.33亿元，财政自给率44.27%、43.14%、41.86%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政府性基金收入方面，2023、2024、2025年分别为126.72亿元、135.75亿元、157.80亿元，政府性基金收入较2023年累计增长25%，反映地方综合财力对房地产周期的敞口。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图表：2023-2025年乐山市财政收入情况(单位:亿元、%)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163.06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-13.58%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360.52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411.33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8.82%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157.80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资料来源:乐山市财政决算、企业预警通,风控信评部整理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土地市场方面，【待补充:乐山市土地出让与房地产销售数据（土地市场数据库未覆盖该市）】。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乐山市地方政府债务余额分别为747.90亿元、919.60亿元、1,129.00亿元，2025年末债务限额1,192.90亿元，债务余额控制在限额以内；城投有息债务2025年末估算余额880.97亿元。债务率指标看，2025年末政府债务率167.73%、城投债务率130.88%、宽口径债务率298.61%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乐山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