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内江市信用评级报告(区域部分)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内江作为四川省下辖地级市，经济总量列四川省第十位，人均GDP约6.75万元、人均经济实力在省内相对靠后，经济增速由7.00%回落至6.60%、有所放缓；固定资产投资最新增速6.50%，经济运行总体平稳。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内江市2023、2024、2025年地区生产总值分别为1,826.51亿元、1,936.44亿元、2,050.66亿元，同比增长7.00%、6.70%、6.60%。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产业结构方面，2025年内江市三次产业结构为13.4:34.4:52.2，第三产业占主导、服务业是经济主体。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2023、2024、2025年固定资产投资增速分别为13.90%、8.10%、6.50%，2025年社会消费品零售总额806.80亿元，进出口总额14.70亿美元。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内江市2025年GDP总量2,050.66亿元、列全省第十位，一般公共预算收入93.43亿元、列全省第14位。整体来看，内江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内江市财政体量在四川省处于中游，税收占比42.16%、税收占比处于一般水平，但政府性基金收入总体平稳；2025年末宽口径债务率748.04%、处于偏高水平，已显著高于公认的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内江市一般公共预算收入分别为85.21亿元、91.52亿元、93.43亿元，其中税收收入39.64亿元、37.61亿元、39.39亿元，税收占比维持在46.52%、41.10%、42.16%；一般公共预算支出308.70亿元、350.82亿元、360.33亿元，财政自给率27.60%、26.09%、25.93%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政府性基金收入方面，2023、2024、2025年分别为113.86亿元、120.58亿元、118.79亿元，政府性基金收入总体平稳，反映地方综合财力对房地产周期的敞口。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图表：2023-2025年内江市财政收入情况(单位:亿元、%)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350.82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-1.48%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资料来源:内江市财政决算、企业预警通,风控信评部整理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土地市场方面，【待补充:内江市土地出让与房地产销售数据（土地市场数据库未覆盖该市）】。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内江市地方政府债务余额分别为698.70亿元、844.40亿元、982.60亿元，2025年末债务限额1,039.90亿元，债务余额控制在限额以内；城投有息债务2025年末估算余额618.39亿元。债务率指标看，2025年末政府债务率459.10%、城投债务率288.93%、宽口径债务率748.04%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内江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