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南充市信用评级报告(区域部分)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南充作为四川省下辖地级市，经济总量列四川省第七位，人均GDP约5.32万元、人均经济实力在省内相对靠后，经济增速由5.50%回落至3.30%、有所放缓；固定资产投资最新增速转负（-48.00%），经济动能仍有待修复。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南充市2023、2024、2025年地区生产总值分别为2,740.78亿元、2,835.80亿元、2,901.76亿元，同比增长5.50%、5.00%、3.30%。截至2025年末，全市常住人口541.50万人，人均GDP约5.32万元。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产业结构方面，南充作为四川省下辖地级市，区域产业结构以本地优势产业为主。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2023、2024、2025年固定资产投资增速分别为12.70%、1.00%、-48.00%，2025年社会消费品零售总额1,684.80亿元，进出口总额17.86亿美元。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南充市2025年GDP总量2,901.76亿元、列全省第七位，一般公共预算收入118.95亿元、列全省第十位。整体来看，南充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南充市财政体量在四川省处于中游，税收占比51.70%、税收占比处于一般水平，但政府性基金收入较2023年累计增长40%；2025年末宽口径债务率232.21%、处于中等偏高水平，处于相对偏高区间，需关注债务扩张节奏。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南充市一般公共预算收入分别为110.20亿元、115.73亿元、118.95亿元，其中税收收入55.22亿元、58.25亿元、61.50亿元，税收占比维持在50.11%、50.34%、51.70%；一般公共预算支出556.50亿元、590.59亿元、607.99亿元，财政自给率19.80%、19.59%、19.56%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政府性基金收入方面，2023、2024、2025年分别为135.21亿元、148.11亿元、188.70亿元，政府性基金收入较2023年累计增长40%，反映地方综合财力对房地产周期的敞口。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图表：2023-2025年南充市财政收入情况(单位:亿元、%)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590.59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27.41%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资料来源:南充市财政决算、企业预警通,风控信评部整理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土地市场方面，【待补充:南充市土地出让与房地产销售数据（土地市场数据库未覆盖该市）】。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南充市地方政府债务余额分别为1,111.00亿元、1,311.70亿元、1,519.40亿元，2025年末债务限额1,590.80亿元，债务余额控制在限额以内；城投有息债务2025年末估算余额734.28亿元。债务率指标看，2025年末政府债务率156.55%、城投债务率75.66%、宽口径债务率232.21%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南充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